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t>Chào bạn, đây là nội dung đề thi và gợi ý lời giải cho đề thi đại lý thuế 2023 môn thuế dựa trên nguồn bạn cung cấp:</w:t>
      </w:r>
    </w:p>
    <w:p>
      <w:pPr>
        <w:pStyle w:val="BodyText"/>
        <w:rPr/>
      </w:pPr>
      <w:r>
        <w:rPr>
          <w:rStyle w:val="Strong"/>
        </w:rPr>
        <w:t>Đề thi đại lý thuế 2023 môn thuế</w:t>
      </w:r>
    </w:p>
    <w:p>
      <w:pPr>
        <w:pStyle w:val="BodyText"/>
        <w:rPr/>
      </w:pPr>
      <w:r>
        <w:rPr>
          <w:rStyle w:val="Strong"/>
        </w:rPr>
        <w:t>PHẦN I – CÂU HỎI TRẮC NGHIỆM (3 điểm)</w:t>
      </w:r>
      <w:r>
        <w:rPr/>
        <w:t xml:space="preserve"> Căn cứ các quy định pháp luật thuế và quản lý thuế hiện hành, anh/chị hãy ghi tên phương án trả lời đúng nhất vào cột Phương án trả lời của Phần trả lời câu hỏi trắc nghiệm:</w:t>
      </w:r>
    </w:p>
    <w:p>
      <w:pPr>
        <w:pStyle w:val="BodyText"/>
        <w:rPr/>
      </w:pPr>
      <w:r>
        <w:rPr>
          <w:rStyle w:val="Strong"/>
        </w:rPr>
        <w:t>Câu 1.</w:t>
      </w:r>
      <w:r>
        <w:rPr/>
        <w:t xml:space="preserve"> Khoản thu nhập nào dưới đây là thu nhập chịu thuế thu nhập cá nhân:</w:t>
      </w:r>
    </w:p>
    <w:p>
      <w:pPr>
        <w:pStyle w:val="BodyText"/>
        <w:rPr/>
      </w:pPr>
      <w:r>
        <w:rPr/>
        <w:t>A. Thu nhập từ chuyển nhượng quyền sử dụng đất và tài sản gắn liền với đất giữa cha dượng với con riêng của vợ.</w:t>
      </w:r>
    </w:p>
    <w:p>
      <w:pPr>
        <w:pStyle w:val="BodyText"/>
        <w:rPr/>
      </w:pPr>
      <w:r>
        <w:rPr/>
        <w:t>B. Thu nhập từ chuyển nhượng nhà ở hình thành trong tương lai giữa anh chị em ruột với nhau.</w:t>
      </w:r>
    </w:p>
    <w:p>
      <w:pPr>
        <w:pStyle w:val="BodyText"/>
        <w:rPr/>
      </w:pPr>
      <w:r>
        <w:rPr/>
        <w:t>C. Thu nhập từ chuyển nhượng nhà ở, quyền sử dụng đất ở của cá nhân có duy nhất một nhà ở, quyền sử dụng đất ở tại Việt Nam.</w:t>
      </w:r>
    </w:p>
    <w:p>
      <w:pPr>
        <w:pStyle w:val="BodyText"/>
        <w:rPr/>
      </w:pPr>
      <w:r>
        <w:rPr/>
        <w:t>D. Tất cả các khoản thu nhập nêu trên.</w:t>
      </w:r>
    </w:p>
    <w:p>
      <w:pPr>
        <w:pStyle w:val="BodyText"/>
        <w:rPr/>
      </w:pPr>
      <w:r>
        <w:rPr>
          <w:rStyle w:val="Strong"/>
        </w:rPr>
        <w:t>Câu 2.</w:t>
      </w:r>
      <w:r>
        <w:rPr/>
        <w:t xml:space="preserve"> Ngày 16/5/2023, cơ sở kinh doanh nộp thuế giá trị gia tăng theo phương pháp khấu trừ phát hiện hóa đơn bán ra của sản phẩm hàng hóa chịu thuế suất thuế giá trị gia tăng 5% phát sinh tháng 03/2023 bị bỏ sót chưa kê khai dẫn đến làm giảm số thuế phải nộp và cơ quan thuế, cơ quan có thẩm quyền chưa công bố quyết định thanh tra, kiểm tra thì việc khai bổ sung điều chỉnh thuế giá trị gia tăng của cơ sở kinh doanh:</w:t>
      </w:r>
    </w:p>
    <w:p>
      <w:pPr>
        <w:pStyle w:val="BodyText"/>
        <w:rPr/>
      </w:pPr>
      <w:r>
        <w:rPr/>
        <w:t>A. Thực hiện khai vào hồ sơ khai thuế bổ sung kỳ tính tháng 03/2023.</w:t>
      </w:r>
    </w:p>
    <w:p>
      <w:pPr>
        <w:pStyle w:val="BodyText"/>
        <w:rPr/>
      </w:pPr>
      <w:r>
        <w:rPr/>
        <w:t>B. Thực hiện khai vào hồ sơ khai thuế kỳ tính thuế tháng 04/2023.</w:t>
      </w:r>
    </w:p>
    <w:p>
      <w:pPr>
        <w:pStyle w:val="BodyText"/>
        <w:rPr/>
      </w:pPr>
      <w:r>
        <w:rPr/>
        <w:t>C. Thực hiện khai vào hồ sơ khai thuế kỳ tính thuế tháng 04/2023 lần đầu hoặc hồ sơ khai thuế kỳ tính thuế tháng 05/2023 nếu người nộp thuế đã nộp hồ sơ khai thuế kỳ tính thuế tháng 04/2023 vay vốn.</w:t>
      </w:r>
    </w:p>
    <w:p>
      <w:pPr>
        <w:pStyle w:val="BodyText"/>
        <w:rPr/>
      </w:pPr>
      <w:r>
        <w:rPr>
          <w:rStyle w:val="Strong"/>
        </w:rPr>
        <w:t>Câu 3.</w:t>
      </w:r>
      <w:r>
        <w:rPr/>
        <w:t xml:space="preserve"> Cá nhân cư trú A trong năm 2022 có thu nhập theo hợp đồng cho vay ký với tổ chức B là 50 triệu đồng. Số thuế TNCN phát sinh từ khoản thu nhập này là: </w:t>
      </w:r>
    </w:p>
    <w:p>
      <w:pPr>
        <w:pStyle w:val="BodyText"/>
        <w:rPr/>
      </w:pPr>
      <w:r>
        <w:rPr/>
        <w:t>A. 5.000.000 đồng.</w:t>
      </w:r>
    </w:p>
    <w:p>
      <w:pPr>
        <w:pStyle w:val="BodyText"/>
        <w:rPr/>
      </w:pPr>
      <w:r>
        <w:rPr/>
        <w:t>B. 2.500.000 đồng.</w:t>
      </w:r>
    </w:p>
    <w:p>
      <w:pPr>
        <w:pStyle w:val="BodyText"/>
        <w:rPr/>
      </w:pPr>
      <w:r>
        <w:rPr/>
        <w:t>C. 1.000.000 đồng.</w:t>
      </w:r>
    </w:p>
    <w:p>
      <w:pPr>
        <w:pStyle w:val="BodyText"/>
        <w:rPr/>
      </w:pPr>
      <w:r>
        <w:rPr/>
        <w:t>D. Không phát sinh số thuế TNCN phải nộp.</w:t>
      </w:r>
    </w:p>
    <w:p>
      <w:pPr>
        <w:pStyle w:val="BodyText"/>
        <w:rPr/>
      </w:pPr>
      <w:r>
        <w:rPr>
          <w:rStyle w:val="Strong"/>
        </w:rPr>
        <w:t>Câu 4.</w:t>
      </w:r>
      <w:r>
        <w:rPr/>
        <w:t xml:space="preserve"> Doanh nghiệp được tính vào chi phí được trừ khi xác định thu nhập chịu thuế TNDN đối với khoản chi phí nào dưới đây:</w:t>
      </w:r>
    </w:p>
    <w:p>
      <w:pPr>
        <w:pStyle w:val="BodyText"/>
        <w:rPr/>
      </w:pPr>
      <w:r>
        <w:rPr/>
        <w:t>A. Lỗ chênh lệch tỷ giá hối đoái do đánh giá lại các khoản nợ phải thu có gốc ngoại tệ cuối kỳ tính thuế.</w:t>
      </w:r>
    </w:p>
    <w:p>
      <w:pPr>
        <w:pStyle w:val="BodyText"/>
        <w:rPr/>
      </w:pPr>
      <w:r>
        <w:rPr/>
        <w:t>B. Lỗ chênh lệch tỷ giá hối đoái do đánh giá lại các khoản nợ phải trả có gốc ngoại tệ cuối kỳ tính thuế.</w:t>
      </w:r>
    </w:p>
    <w:p>
      <w:pPr>
        <w:pStyle w:val="BodyText"/>
        <w:rPr/>
      </w:pPr>
      <w:r>
        <w:rPr/>
        <w:t>C. Lỗ chênh lệch tỷ giá hối đoái do đánh giá lại các khoản tiền mặt, tiền gửi, tiền đang chuyển có gốc ngoại tệ cuối kỳ tính thuế.</w:t>
      </w:r>
    </w:p>
    <w:p>
      <w:pPr>
        <w:pStyle w:val="BodyText"/>
        <w:rPr/>
      </w:pPr>
      <w:r>
        <w:rPr/>
        <w:t>D. Cả ba (03) khoản chi phí nêu trên.</w:t>
      </w:r>
    </w:p>
    <w:p>
      <w:pPr>
        <w:pStyle w:val="BodyText"/>
        <w:rPr/>
      </w:pPr>
      <w:r>
        <w:rPr>
          <w:rStyle w:val="Strong"/>
        </w:rPr>
        <w:t>Câu 5.</w:t>
      </w:r>
      <w:r>
        <w:rPr/>
        <w:t xml:space="preserve"> Điều kiện cấp giấy xác nhận đủ điều kiện kinh doanh dịch vụ làm thủ tục về thuế là doanh nghiệp đã được thành lập theo quy định của pháp luật và:</w:t>
      </w:r>
    </w:p>
    <w:p>
      <w:pPr>
        <w:pStyle w:val="BodyText"/>
        <w:rPr/>
      </w:pPr>
      <w:r>
        <w:rPr/>
        <w:t>A. Giám đốc điều hành doanh nghiệp được cấp chứng chỉ hành nghề dịch vụ làm thủ tục về thuế.</w:t>
      </w:r>
    </w:p>
    <w:p>
      <w:pPr>
        <w:pStyle w:val="BodyText"/>
        <w:rPr/>
      </w:pPr>
      <w:r>
        <w:rPr/>
        <w:t>B. Có ít nhất 05 người được cấp chứng chỉ hành nghề dịch vụ làm thủ tục về thuế, ký hợp đồng lao động với doanh nghiệp.</w:t>
      </w:r>
    </w:p>
    <w:p>
      <w:pPr>
        <w:pStyle w:val="BodyText"/>
        <w:rPr/>
      </w:pPr>
      <w:r>
        <w:rPr/>
        <w:t>C. Có ít nhất 02 người được cấp chứng chỉ hành nghề dịch vụ làm thủ tục về thuế, làm việc toàn thời gian tại doanh nghiệp.</w:t>
      </w:r>
    </w:p>
    <w:p>
      <w:pPr>
        <w:pStyle w:val="BodyText"/>
        <w:rPr/>
      </w:pPr>
      <w:r>
        <w:rPr/>
        <w:t>D. Có ít nhất 03 người được cấp chứng chỉ hành nghề dịch vụ làm thủ tục về thuế, làm việc toàn thời gian tại doanh nghiệp.</w:t>
      </w:r>
    </w:p>
    <w:p>
      <w:pPr>
        <w:pStyle w:val="BodyText"/>
        <w:rPr/>
      </w:pPr>
      <w:r>
        <w:rPr>
          <w:rStyle w:val="Strong"/>
        </w:rPr>
        <w:t>Câu 6.</w:t>
      </w:r>
      <w:r>
        <w:rPr/>
        <w:t xml:space="preserve"> Trường hợp cơ sở kinh doanh sử dụng hàng hóa, dịch vụ để khuyến mại nhưng không thực hiện theo đúng quy định của pháp luật về thương mại thì thuế GTGT đối với hàng hóa, dịch vụ đó được xác định:</w:t>
      </w:r>
    </w:p>
    <w:p>
      <w:pPr>
        <w:pStyle w:val="BodyText"/>
        <w:rPr/>
      </w:pPr>
      <w:r>
        <w:rPr/>
        <w:t>A. Bằng 0.</w:t>
      </w:r>
    </w:p>
    <w:p>
      <w:pPr>
        <w:pStyle w:val="BodyText"/>
        <w:rPr/>
      </w:pPr>
      <w:r>
        <w:rPr/>
        <w:t>B. Không phải kê khai, tính nộp thuế GTGT.</w:t>
      </w:r>
    </w:p>
    <w:p>
      <w:pPr>
        <w:pStyle w:val="BodyText"/>
        <w:rPr/>
      </w:pPr>
      <w:r>
        <w:rPr/>
        <w:t>C</w:t>
      </w:r>
      <w:r>
        <w:rPr/>
        <w:t>. Phải kê khai, tính nộp thuế như đối với hàng hóa, dịch vụ dùng để biếu, tặng, cho.</w:t>
      </w:r>
    </w:p>
    <w:p>
      <w:pPr>
        <w:pStyle w:val="BodyText"/>
        <w:rPr/>
      </w:pPr>
      <w:r>
        <w:rPr>
          <w:rStyle w:val="Strong"/>
        </w:rPr>
        <w:t>Câu 7.</w:t>
      </w:r>
      <w:r>
        <w:rPr/>
        <w:t xml:space="preserve"> Doanh nghiệp được tính vào chi phí được trừ khi xác định thu nhập chịu thuế TNDN đối với khoản chi phí nào dưới đây:</w:t>
      </w:r>
    </w:p>
    <w:p>
      <w:pPr>
        <w:pStyle w:val="BodyText"/>
        <w:rPr/>
      </w:pPr>
      <w:r>
        <w:rPr/>
        <w:t>A. Phần chi phí quản lý kinh doanh do doanh nghiệp nước ngoài phân bổ cho cơ sở thường trú tại Việt Nam theo mức tính quy định của pháp luật Việt Nam.</w:t>
      </w:r>
    </w:p>
    <w:p>
      <w:pPr>
        <w:pStyle w:val="BodyText"/>
        <w:rPr/>
      </w:pPr>
      <w:r>
        <w:rPr/>
        <w:t>B. Phần chi vượt mức theo quy định của pháp luật về trích lập dự phòng.</w:t>
      </w:r>
    </w:p>
    <w:p>
      <w:pPr>
        <w:pStyle w:val="BodyText"/>
        <w:rPr/>
      </w:pPr>
      <w:r>
        <w:rPr/>
        <w:t>C. Phần trích khấu hao vượt mức quy định hiện hành của Bộ Tài chính về chế độ quản lý, sử dụng và trích khấu hao tài sản cố định.</w:t>
      </w:r>
    </w:p>
    <w:p>
      <w:pPr>
        <w:pStyle w:val="BodyText"/>
        <w:rPr/>
      </w:pPr>
      <w:r>
        <w:rPr/>
        <w:t>D. Không khoản chi nào nêu trên.</w:t>
      </w:r>
    </w:p>
    <w:p>
      <w:pPr>
        <w:pStyle w:val="BodyText"/>
        <w:rPr/>
      </w:pPr>
      <w:r>
        <w:rPr>
          <w:rStyle w:val="Strong"/>
        </w:rPr>
        <w:t>Câu 8.</w:t>
      </w:r>
      <w:r>
        <w:rPr/>
        <w:t xml:space="preserve"> Cá nhân cư trú A ký hợp đồng chuyển nhượng bản quyền một trò chơi cho tổ chức B, giá trị chuyển nhượng theo hợp đồng là 600 triệu đồng. Số thuế TNCN phát sinh từ hoạt động chuyển nhượng này là:</w:t>
      </w:r>
    </w:p>
    <w:p>
      <w:pPr>
        <w:pStyle w:val="BodyText"/>
        <w:rPr/>
      </w:pPr>
      <w:r>
        <w:rPr/>
        <w:t>A. 12.000.000 đồng.</w:t>
      </w:r>
    </w:p>
    <w:p>
      <w:pPr>
        <w:pStyle w:val="BodyText"/>
        <w:rPr/>
      </w:pPr>
      <w:r>
        <w:rPr/>
        <w:t>B. 29.500.000 đồng.</w:t>
      </w:r>
    </w:p>
    <w:p>
      <w:pPr>
        <w:pStyle w:val="BodyText"/>
        <w:rPr/>
      </w:pPr>
      <w:r>
        <w:rPr/>
        <w:t>C. 30.000.000 đồng.</w:t>
      </w:r>
    </w:p>
    <w:p>
      <w:pPr>
        <w:pStyle w:val="BodyText"/>
        <w:rPr/>
      </w:pPr>
      <w:r>
        <w:rPr/>
        <w:t>D. 60.000.000 đồng.</w:t>
      </w:r>
    </w:p>
    <w:p>
      <w:pPr>
        <w:pStyle w:val="BodyText"/>
        <w:rPr/>
      </w:pPr>
      <w:r>
        <w:rPr>
          <w:rStyle w:val="Strong"/>
        </w:rPr>
        <w:t>Câu 9.</w:t>
      </w:r>
      <w:r>
        <w:rPr/>
        <w:t xml:space="preserve"> Doanh nghiệp không được tính vào chi phí được trừ khi xác định thu nhập chịu thuế TNDN đối với khoản chi phí nào dưới đây:</w:t>
      </w:r>
    </w:p>
    <w:p>
      <w:pPr>
        <w:pStyle w:val="BodyText"/>
        <w:rPr/>
      </w:pPr>
      <w:r>
        <w:rPr/>
        <w:t>A. Tiền phạt vi phạm chế độ kế toán thống kê.</w:t>
      </w:r>
    </w:p>
    <w:p>
      <w:pPr>
        <w:pStyle w:val="BodyText"/>
        <w:rPr/>
      </w:pPr>
      <w:r>
        <w:rPr/>
        <w:t>B. Tiền phạt vi phạm pháp luật thuế.</w:t>
      </w:r>
    </w:p>
    <w:p>
      <w:pPr>
        <w:pStyle w:val="BodyText"/>
        <w:rPr/>
      </w:pPr>
      <w:r>
        <w:rPr/>
        <w:t>C. Tiền phạt vi phạm chế độ đăng ký kinh doanh.</w:t>
      </w:r>
    </w:p>
    <w:p>
      <w:pPr>
        <w:pStyle w:val="BodyText"/>
        <w:rPr/>
      </w:pPr>
      <w:r>
        <w:rPr/>
        <w:t>D. Cả ba (03) khoản chi nêu trên.</w:t>
      </w:r>
    </w:p>
    <w:p>
      <w:pPr>
        <w:pStyle w:val="BodyText"/>
        <w:rPr/>
      </w:pPr>
      <w:r>
        <w:rPr>
          <w:rStyle w:val="Strong"/>
        </w:rPr>
        <w:t>Câu 10.</w:t>
      </w:r>
      <w:r>
        <w:rPr/>
        <w:t xml:space="preserve"> Khoản phụ cấp nào dưới đây không được trừ khi tính thu nhập chịu thuế từ tiền lương, tiền công của người lao động:</w:t>
      </w:r>
    </w:p>
    <w:p>
      <w:pPr>
        <w:pStyle w:val="BodyText"/>
        <w:rPr/>
      </w:pPr>
      <w:r>
        <w:rPr/>
        <w:t>A. Phụ cấp công vụ Phụ cấp với nhân viên y tế thôn, bản Phụ cấp phục vụ đối với lãnh đạo cấp cao.</w:t>
      </w:r>
    </w:p>
    <w:p>
      <w:pPr>
        <w:pStyle w:val="BodyText"/>
        <w:rPr/>
      </w:pPr>
      <w:r>
        <w:rPr>
          <w:rFonts w:ascii="Google Sans Text;Google Sans;sans-serif" w:hAnsi="Google Sans Text;Google Sans;sans-serif"/>
          <w:b w:val="false"/>
          <w:i w:val="false"/>
          <w:caps w:val="false"/>
          <w:smallCaps w:val="false"/>
          <w:color w:val="131314"/>
          <w:spacing w:val="0"/>
          <w:sz w:val="21"/>
        </w:rPr>
        <w:t>B. Phụ cấp với nhân viên y tế thôn, bản</w:t>
      </w:r>
    </w:p>
    <w:p>
      <w:pPr>
        <w:pStyle w:val="BodyText"/>
        <w:rPr/>
      </w:pPr>
      <w:r>
        <w:rPr>
          <w:rFonts w:ascii="Google Sans Text;Google Sans;sans-serif" w:hAnsi="Google Sans Text;Google Sans;sans-serif"/>
          <w:b w:val="false"/>
          <w:i w:val="false"/>
          <w:caps w:val="false"/>
          <w:smallCaps w:val="false"/>
          <w:color w:val="131314"/>
          <w:spacing w:val="0"/>
          <w:sz w:val="21"/>
        </w:rPr>
        <w:t>C. Phụ cấp phục vụ đối với lãnh đạo cấp cao.</w:t>
      </w:r>
    </w:p>
    <w:p>
      <w:pPr>
        <w:pStyle w:val="BodyText"/>
        <w:rPr/>
      </w:pPr>
      <w:r>
        <w:rPr>
          <w:rFonts w:ascii="Google Sans Text;Google Sans;sans-serif" w:hAnsi="Google Sans Text;Google Sans;sans-serif"/>
          <w:b w:val="false"/>
          <w:i w:val="false"/>
          <w:caps w:val="false"/>
          <w:smallCaps w:val="false"/>
          <w:color w:val="131314"/>
          <w:spacing w:val="0"/>
          <w:sz w:val="21"/>
        </w:rPr>
        <w:t>D. Tất cả các khoản thu nhập nêu trên.</w:t>
      </w:r>
      <w:r>
        <w:rPr/>
        <w:t xml:space="preserve"> </w:t>
      </w:r>
    </w:p>
    <w:p>
      <w:pPr>
        <w:pStyle w:val="BodyText"/>
        <w:rPr/>
      </w:pPr>
      <w:r>
        <w:rPr>
          <w:rStyle w:val="Strong"/>
        </w:rPr>
        <w:t>Câu 11.</w:t>
      </w:r>
      <w:r>
        <w:rPr/>
        <w:t xml:space="preserve"> Hàng hóa trong trường hợp nào sau đây không phải kê khai, tính nộp thuế GTGT:</w:t>
      </w:r>
    </w:p>
    <w:p>
      <w:pPr>
        <w:pStyle w:val="BodyText"/>
        <w:rPr/>
      </w:pPr>
      <w:r>
        <w:rPr/>
        <w:t>A. Sản phẩm trồng trọt, chăn nuôi chưa qua chế biến do cơ sở kinh doanh nộp thuế GTGT theo phương pháp tính trực tiếp trên GTGT bán ra ở khâu kinh doanh thương mại.</w:t>
      </w:r>
    </w:p>
    <w:p>
      <w:pPr>
        <w:pStyle w:val="BodyText"/>
        <w:rPr/>
      </w:pPr>
      <w:r>
        <w:rPr/>
        <w:t xml:space="preserve">B. Sản phẩm trồng trọt, chăn nuôi chưa qua chế biến do cơ sở kinh doanh nộp thuế GTGT theo phương pháp khấu trừ bán cho hộ, cá nhân kinh doanh ở khâu kinh doanh thương mại. </w:t>
      </w:r>
    </w:p>
    <w:p>
      <w:pPr>
        <w:pStyle w:val="BodyText"/>
        <w:rPr/>
      </w:pPr>
      <w:r>
        <w:rPr/>
        <w:t>C. Sản phẩm trồng trọt, chăn nuôi chưa qua chế biến do cơ sở kinh doanh nộp thuế GTGT theo phương pháp khấu trừ bán cho doanh nghiệp, hợp tác xã khác ở khâu kinh doanh thương mại.</w:t>
      </w:r>
    </w:p>
    <w:p>
      <w:pPr>
        <w:pStyle w:val="BodyText"/>
        <w:rPr/>
      </w:pPr>
      <w:r>
        <w:rPr>
          <w:rStyle w:val="Strong"/>
        </w:rPr>
        <w:t>Câu 12.</w:t>
      </w:r>
      <w:r>
        <w:rPr/>
        <w:t xml:space="preserve"> Cá nhân cư trú A trong tháng 4/2023 nhận được 142,5 triệu đồng (là khoản thu nhập đã được khấu trừ thuế TNCN theo quy định) từ hợp đồng cho vay đã ký với doanh nghiệp X. Số thuế TNCN doanh nghiệp X đã thực hiện khấu trừ theo quy định trước khi trả thu nhập cho cá nhân A là:</w:t>
      </w:r>
    </w:p>
    <w:p>
      <w:pPr>
        <w:pStyle w:val="BodyText"/>
        <w:rPr/>
      </w:pPr>
      <w:r>
        <w:rPr/>
        <w:t>A. 142.500 đồng.</w:t>
      </w:r>
    </w:p>
    <w:p>
      <w:pPr>
        <w:pStyle w:val="BodyText"/>
        <w:rPr/>
      </w:pPr>
      <w:r>
        <w:rPr/>
        <w:t>B. 7.125.000 đồng.</w:t>
      </w:r>
    </w:p>
    <w:p>
      <w:pPr>
        <w:pStyle w:val="BodyText"/>
        <w:rPr/>
      </w:pPr>
      <w:r>
        <w:rPr/>
        <w:t>C. 7.500.000 đồng.</w:t>
      </w:r>
    </w:p>
    <w:p>
      <w:pPr>
        <w:pStyle w:val="BodyText"/>
        <w:rPr/>
      </w:pPr>
      <w:r>
        <w:rPr/>
        <w:t>D. 14.250.000 đồng.</w:t>
      </w:r>
    </w:p>
    <w:p>
      <w:pPr>
        <w:pStyle w:val="BodyText"/>
        <w:rPr/>
      </w:pPr>
      <w:r>
        <w:rPr>
          <w:rStyle w:val="Strong"/>
        </w:rPr>
        <w:t>Câu 13.</w:t>
      </w:r>
      <w:r>
        <w:rPr/>
        <w:t xml:space="preserve"> Theo quy định của Luật thuế GTGT, chuyển quyền sử dụng đất thuộc đối tượng: </w:t>
      </w:r>
    </w:p>
    <w:p>
      <w:pPr>
        <w:pStyle w:val="BodyText"/>
        <w:rPr/>
      </w:pPr>
      <w:r>
        <w:rPr/>
        <w:t>A. Không chịu thuế GTGT.</w:t>
      </w:r>
    </w:p>
    <w:p>
      <w:pPr>
        <w:pStyle w:val="BodyText"/>
        <w:rPr/>
      </w:pPr>
      <w:r>
        <w:rPr/>
        <w:t>B. Chịu thuế GTGT với mức thuế suất 0%.</w:t>
      </w:r>
    </w:p>
    <w:p>
      <w:pPr>
        <w:pStyle w:val="BodyText"/>
        <w:rPr/>
      </w:pPr>
      <w:r>
        <w:rPr/>
        <w:t>C. Chịu thuế GTGT với mức thuế suất 5%.</w:t>
      </w:r>
    </w:p>
    <w:p>
      <w:pPr>
        <w:pStyle w:val="BodyText"/>
        <w:rPr/>
      </w:pPr>
      <w:r>
        <w:rPr/>
        <w:t>D. Chịu thuế GTGT với mức thuế suất 10%.</w:t>
      </w:r>
    </w:p>
    <w:p>
      <w:pPr>
        <w:pStyle w:val="BodyText"/>
        <w:rPr/>
      </w:pPr>
      <w:r>
        <w:rPr>
          <w:rStyle w:val="Strong"/>
        </w:rPr>
        <w:t>Câu 14.</w:t>
      </w:r>
      <w:r>
        <w:rPr/>
        <w:t xml:space="preserve"> Đối với cùng một hành vi vi phạm thủ tục thuế thì mức phạt tiền đối với cá nhân:</w:t>
      </w:r>
    </w:p>
    <w:p>
      <w:pPr>
        <w:pStyle w:val="BodyText"/>
        <w:rPr/>
      </w:pPr>
      <w:r>
        <w:rPr/>
        <w:t>A. Bằng mức phạt tiền đối với tổ chức.</w:t>
      </w:r>
    </w:p>
    <w:p>
      <w:pPr>
        <w:pStyle w:val="BodyText"/>
        <w:rPr/>
      </w:pPr>
      <w:r>
        <w:rPr/>
        <w:t>B. Bằng 1/2 mức phạt tiền đối với tổ chức.</w:t>
      </w:r>
    </w:p>
    <w:p>
      <w:pPr>
        <w:pStyle w:val="BodyText"/>
        <w:rPr/>
      </w:pPr>
      <w:r>
        <w:rPr/>
        <w:t>C. Bằng mức phạt tiền đối với tổ chức và áp dụng tình tiết giảm nhẹ.</w:t>
      </w:r>
    </w:p>
    <w:p>
      <w:pPr>
        <w:pStyle w:val="BodyText"/>
        <w:rPr/>
      </w:pPr>
      <w:r>
        <w:rPr/>
        <w:t>D. Bằng 1/2 mức phạt tiền đối với tổ chức và áp dụng tình tiết tăng nặng.</w:t>
      </w:r>
    </w:p>
    <w:p>
      <w:pPr>
        <w:pStyle w:val="BodyText"/>
        <w:rPr/>
      </w:pPr>
      <w:r>
        <w:rPr>
          <w:rStyle w:val="Strong"/>
        </w:rPr>
        <w:t>Câu 15.</w:t>
      </w:r>
      <w:r>
        <w:rPr/>
        <w:t xml:space="preserve"> Phương pháp tính trực tiếp trên giá trị gia tăng được áp dụng đối với đối tượng nào sau đây: </w:t>
      </w:r>
    </w:p>
    <w:p>
      <w:pPr>
        <w:pStyle w:val="BodyText"/>
        <w:rPr/>
      </w:pPr>
      <w:r>
        <w:rPr/>
        <w:t xml:space="preserve">A. Hộ, cá nhân kinh doanh. </w:t>
      </w:r>
    </w:p>
    <w:p>
      <w:pPr>
        <w:pStyle w:val="BodyText"/>
        <w:rPr/>
      </w:pPr>
      <w:r>
        <w:rPr/>
        <w:t>B. Tổ chức, cá nhân nước ngoài kinh doanh tại Việt Nam không theo Luật Đầu tư không thực hiện hoặc thực hiện không đầy đủ chế độ kế toán, hóa đơn, chứng từ theo quy định của pháp luật.</w:t>
      </w:r>
    </w:p>
    <w:p>
      <w:pPr>
        <w:pStyle w:val="BodyText"/>
        <w:rPr/>
      </w:pPr>
      <w:r>
        <w:rPr/>
        <w:t>C. Tổ chức khác không thực hiện hoặc thực hiện không đầy đủ chế độ kế toán, hóa đơn, chứng từ theo quy định của pháp luật.</w:t>
      </w:r>
    </w:p>
    <w:p>
      <w:pPr>
        <w:pStyle w:val="BodyText"/>
        <w:rPr/>
      </w:pPr>
      <w:r>
        <w:rPr/>
        <w:t>D. Tất cả các trường hợp trên.</w:t>
      </w:r>
    </w:p>
    <w:p>
      <w:pPr>
        <w:pStyle w:val="BodyText"/>
        <w:rPr/>
      </w:pPr>
      <w:r>
        <w:rPr>
          <w:rStyle w:val="Strong"/>
        </w:rPr>
        <w:t>Câu 16.</w:t>
      </w:r>
      <w:r>
        <w:rPr/>
        <w:t xml:space="preserve"> Cá nhân cư trú A trong năm 2022 được thừa kế 01 xe ô tô có giá tính lệ phí trước bạ 1.200 triệu đồng từ anh ruột. Số thuế TNCN cá nhân này phải nộp đối với thu nhập từ thừa kế nếu trên là: </w:t>
      </w:r>
    </w:p>
    <w:p>
      <w:pPr>
        <w:pStyle w:val="BodyText"/>
        <w:rPr/>
      </w:pPr>
      <w:r>
        <w:rPr/>
        <w:t xml:space="preserve">A. 50.000.000 đồng. </w:t>
      </w:r>
    </w:p>
    <w:p>
      <w:pPr>
        <w:pStyle w:val="BodyText"/>
        <w:rPr/>
      </w:pPr>
      <w:r>
        <w:rPr/>
        <w:t xml:space="preserve">B. 120.000.000 đồng. </w:t>
      </w:r>
    </w:p>
    <w:p>
      <w:pPr>
        <w:pStyle w:val="BodyText"/>
        <w:rPr/>
      </w:pPr>
      <w:r>
        <w:rPr/>
        <w:t>C. 119.000.000 đồng.</w:t>
      </w:r>
    </w:p>
    <w:p>
      <w:pPr>
        <w:pStyle w:val="BodyText"/>
        <w:rPr/>
      </w:pPr>
      <w:r>
        <w:rPr/>
        <w:t>D. Không phải nộp thuế TNCN do thuộc trường hợp được miễn thuế TNCN.</w:t>
      </w:r>
    </w:p>
    <w:p>
      <w:pPr>
        <w:pStyle w:val="BodyText"/>
        <w:rPr/>
      </w:pPr>
      <w:r>
        <w:rPr>
          <w:rStyle w:val="Strong"/>
        </w:rPr>
        <w:t>Câu 17.</w:t>
      </w:r>
      <w:r>
        <w:rPr/>
        <w:t xml:space="preserve"> Cơ sở kinh doanh không phải kê khai, nộp thuế GTGT trong trường hợp nào sau đây: </w:t>
      </w:r>
    </w:p>
    <w:p>
      <w:pPr>
        <w:pStyle w:val="BodyText"/>
        <w:rPr/>
      </w:pPr>
      <w:r>
        <w:rPr/>
        <w:t xml:space="preserve">A. Nhận tiền bồi thường về đất, hỗ trợ về đất, tái định cư trong trường hợp cơ quan nhà nước có thẩm quyền thu hồi đất. </w:t>
      </w:r>
    </w:p>
    <w:p>
      <w:pPr>
        <w:pStyle w:val="BodyText"/>
        <w:rPr/>
      </w:pPr>
      <w:r>
        <w:rPr/>
        <w:t xml:space="preserve">B. Nhận tiền chuyển nhượng quyền phát thải. </w:t>
      </w:r>
    </w:p>
    <w:p>
      <w:pPr>
        <w:pStyle w:val="BodyText"/>
        <w:rPr/>
      </w:pPr>
      <w:r>
        <w:rPr/>
        <w:t>C. Nhận tiền thưởng, tiền hỗ trợ theo quy định.</w:t>
      </w:r>
    </w:p>
    <w:p>
      <w:pPr>
        <w:pStyle w:val="BodyText"/>
        <w:rPr/>
      </w:pPr>
      <w:r>
        <w:rPr/>
        <w:t>D. Cả ba trường hợp không phải kê khai, nộp thuế GTGT.</w:t>
      </w:r>
    </w:p>
    <w:p>
      <w:pPr>
        <w:pStyle w:val="BodyText"/>
        <w:rPr/>
      </w:pPr>
      <w:r>
        <w:rPr>
          <w:rStyle w:val="Strong"/>
        </w:rPr>
        <w:t>Câu 18.</w:t>
      </w:r>
      <w:r>
        <w:rPr/>
        <w:t xml:space="preserve"> Tổ chức chi trả thu nhập không cấp chứng từ khấu trừ thuế TNCN đối với: </w:t>
      </w:r>
    </w:p>
    <w:p>
      <w:pPr>
        <w:pStyle w:val="BodyText"/>
        <w:rPr/>
      </w:pPr>
      <w:r>
        <w:rPr/>
        <w:t xml:space="preserve">A. Cá nhân không ký hợp đồng lao động. </w:t>
      </w:r>
    </w:p>
    <w:p>
      <w:pPr>
        <w:pStyle w:val="BodyText"/>
        <w:rPr/>
      </w:pPr>
      <w:r>
        <w:rPr/>
        <w:t xml:space="preserve">B. Cá nhân ủy quyền quyết toán thuế. </w:t>
      </w:r>
    </w:p>
    <w:p>
      <w:pPr>
        <w:pStyle w:val="BodyText"/>
        <w:rPr/>
      </w:pPr>
      <w:r>
        <w:rPr/>
        <w:t>C. Cá nhân ký hợp đồng lao động dưới 03 tháng.</w:t>
      </w:r>
    </w:p>
    <w:p>
      <w:pPr>
        <w:pStyle w:val="BodyText"/>
        <w:rPr/>
      </w:pPr>
      <w:r>
        <w:rPr/>
        <w:t>D. Cá nhân ký hợp đồng lao động từ 03 tháng trở lên.</w:t>
      </w:r>
    </w:p>
    <w:p>
      <w:pPr>
        <w:pStyle w:val="BodyText"/>
        <w:rPr/>
      </w:pPr>
      <w:r>
        <w:rPr>
          <w:rStyle w:val="Strong"/>
        </w:rPr>
        <w:t>Câu 19.</w:t>
      </w:r>
      <w:r>
        <w:rPr/>
        <w:t xml:space="preserve"> Năm 2018, công ty X có dự án đầu tư mới sản xuất sản phẩm Y và được hưởng ưu đãi về thuế suất 10% trong thời hạn 15 năm. Nếu dự án đầu tư này phát sinh doanh thu từ năm 2019 nhưng đến năm 2023 mới phát sinh thu nhập thì thời gian áp dụng thuế suất ưu đãi 10% được tính liên tục từ năm: </w:t>
      </w:r>
    </w:p>
    <w:p>
      <w:pPr>
        <w:pStyle w:val="BodyText"/>
        <w:rPr/>
      </w:pPr>
      <w:r>
        <w:rPr/>
        <w:t xml:space="preserve">A. Năm 2018. </w:t>
      </w:r>
    </w:p>
    <w:p>
      <w:pPr>
        <w:pStyle w:val="BodyText"/>
        <w:rPr/>
      </w:pPr>
      <w:r>
        <w:rPr/>
        <w:t xml:space="preserve">B. Năm 2019. </w:t>
      </w:r>
    </w:p>
    <w:p>
      <w:pPr>
        <w:pStyle w:val="BodyText"/>
        <w:rPr/>
      </w:pPr>
      <w:r>
        <w:rPr/>
        <w:t>C. Năm 2022.</w:t>
      </w:r>
    </w:p>
    <w:p>
      <w:pPr>
        <w:pStyle w:val="BodyText"/>
        <w:rPr/>
      </w:pPr>
      <w:r>
        <w:rPr/>
        <w:t>D. Năm 2023.</w:t>
      </w:r>
    </w:p>
    <w:p>
      <w:pPr>
        <w:pStyle w:val="BodyText"/>
        <w:rPr/>
      </w:pPr>
      <w:r>
        <w:rPr>
          <w:rStyle w:val="Strong"/>
        </w:rPr>
        <w:t>Câu 20.</w:t>
      </w:r>
      <w:r>
        <w:rPr/>
        <w:t xml:space="preserve"> Doanh nghiệp thực hiện khai thuế giá trị gia tăng theo tháng nếu tổng doanh thu bán hàng hóa và cung cấp dịch vụ của năm trước liền kề (đủ 12 tháng): </w:t>
      </w:r>
    </w:p>
    <w:p>
      <w:pPr>
        <w:pStyle w:val="BodyText"/>
        <w:rPr/>
      </w:pPr>
      <w:r>
        <w:rPr/>
        <w:t xml:space="preserve">A. Từ 30 tỷ đồng trở lên. </w:t>
      </w:r>
    </w:p>
    <w:p>
      <w:pPr>
        <w:pStyle w:val="BodyText"/>
        <w:rPr/>
      </w:pPr>
      <w:r>
        <w:rPr/>
        <w:t xml:space="preserve">B. Trên 30 tỷ đồng. </w:t>
      </w:r>
    </w:p>
    <w:p>
      <w:pPr>
        <w:pStyle w:val="BodyText"/>
        <w:rPr/>
      </w:pPr>
      <w:r>
        <w:rPr/>
        <w:t>C. Từ 50 tỷ đồng trở lên.</w:t>
      </w:r>
    </w:p>
    <w:p>
      <w:pPr>
        <w:pStyle w:val="BodyText"/>
        <w:rPr/>
      </w:pPr>
      <w:r>
        <w:rPr/>
        <w:t>D. Trên 50 tỷ đồng.</w:t>
      </w:r>
    </w:p>
    <w:p>
      <w:pPr>
        <w:pStyle w:val="BodyText"/>
        <w:rPr/>
      </w:pPr>
      <w:r>
        <w:rPr>
          <w:rStyle w:val="Strong"/>
        </w:rPr>
        <w:t>Câu 21.</w:t>
      </w:r>
      <w:r>
        <w:rPr/>
        <w:t xml:space="preserve"> Số thuế GTGT phải nộp theo phương pháp khấu trừ thuế được xác định bằng: </w:t>
      </w:r>
    </w:p>
    <w:p>
      <w:pPr>
        <w:pStyle w:val="BodyText"/>
        <w:rPr/>
      </w:pPr>
      <w:r>
        <w:rPr/>
        <w:t xml:space="preserve">A. Tổng số thuế GTGT của hàng hóa, dịch vụ bán ra ghi trên hóa đơn GTGT. </w:t>
      </w:r>
    </w:p>
    <w:p>
      <w:pPr>
        <w:pStyle w:val="BodyText"/>
        <w:rPr/>
      </w:pPr>
      <w:r>
        <w:rPr/>
        <w:t xml:space="preserve">B. Số thuế GTGT của hàng hóa, dịch vụ bán ra ghi trên hóa đơn GTGT trừ (-) Số thuế GTGT của hàng hóa, dịch vụ mua vào được khấu trừ </w:t>
      </w:r>
    </w:p>
    <w:p>
      <w:pPr>
        <w:pStyle w:val="BodyText"/>
        <w:rPr/>
      </w:pPr>
      <w:r>
        <w:rPr/>
        <w:t>C. Giá thanh toán của hàng hóa, dịch vụ chịu thuế bán ra trừ (-) giá thanh toán của hàng hóa, dịch vụ mua vào.</w:t>
      </w:r>
    </w:p>
    <w:p>
      <w:pPr>
        <w:pStyle w:val="BodyText"/>
        <w:rPr/>
      </w:pPr>
      <w:r>
        <w:rPr>
          <w:rStyle w:val="Strong"/>
        </w:rPr>
        <w:t>Câu 22.</w:t>
      </w:r>
      <w:r>
        <w:rPr/>
        <w:t xml:space="preserve"> Người nộp thuế có đơn vị phụ thuộc là cơ sở sản xuất hàng hóa, không trực tiếp bán hàng, không phát sinh doanh thu khác tỉnh, thành phố nơi có trụ sở chính thì đối với hoạt động sản xuất của đơn vị phụ thuộc: </w:t>
      </w:r>
    </w:p>
    <w:p>
      <w:pPr>
        <w:pStyle w:val="BodyText"/>
        <w:rPr/>
      </w:pPr>
      <w:r>
        <w:rPr/>
        <w:t xml:space="preserve">A. Khai, nộp thuế GTGT tại tỉnh nơi có đơn vị phụ thuộc ; Số thuế GTGT đã nộp tại tỉnh nơi có đơn vị phụ thuộc được bù trừ với số thuế GTGT phải nộp tại trụ sở chính. </w:t>
      </w:r>
    </w:p>
    <w:p>
      <w:pPr>
        <w:pStyle w:val="BodyText"/>
        <w:rPr/>
      </w:pPr>
      <w:r>
        <w:rPr/>
        <w:t xml:space="preserve">B. Khai tập trung tại trụ sở chính và nộp phụ lục bảng phân bổ thuế giá trị gia tăng phải nộp cho địa phương nơi được hưởng nguồn thu cho cơ quan thuế quản lý trực tiếp; Nộp số tiền thuế phân bổ cho tỉnh nơi có đơn vị phụ thuộc. </w:t>
      </w:r>
    </w:p>
    <w:p>
      <w:pPr>
        <w:pStyle w:val="BodyText"/>
        <w:rPr/>
      </w:pPr>
      <w:r>
        <w:rPr/>
        <w:t>C. Khai, nộp thuế GTGT tập trung tại trụ sở chính.</w:t>
      </w:r>
    </w:p>
    <w:p>
      <w:pPr>
        <w:pStyle w:val="BodyText"/>
        <w:rPr/>
      </w:pPr>
      <w:r>
        <w:rPr>
          <w:rStyle w:val="Strong"/>
        </w:rPr>
        <w:t>Câu 23.</w:t>
      </w:r>
      <w:r>
        <w:rPr/>
        <w:t xml:space="preserve"> Cá nhân A trong năm tính thuế 2022 đăng ký giảm trừ cho 01 người phụ thuộc. Số tiền cá nhân A được tính giảm trừ gia cảnh (bao gồm cả bản thân và người phụ thuộc) khi xác định thu nhập tính thuế từ tiền lương tiền công là: </w:t>
      </w:r>
    </w:p>
    <w:p>
      <w:pPr>
        <w:pStyle w:val="BodyText"/>
        <w:rPr/>
      </w:pPr>
      <w:r>
        <w:rPr/>
        <w:t xml:space="preserve">A. 43.200.000 đồng </w:t>
      </w:r>
    </w:p>
    <w:p>
      <w:pPr>
        <w:pStyle w:val="BodyText"/>
        <w:rPr/>
      </w:pPr>
      <w:r>
        <w:rPr/>
        <w:t xml:space="preserve">B. 151.200.000 đồng </w:t>
      </w:r>
    </w:p>
    <w:p>
      <w:pPr>
        <w:pStyle w:val="BodyText"/>
        <w:rPr/>
      </w:pPr>
      <w:r>
        <w:rPr/>
        <w:t>C. 184.800.000 đồng</w:t>
      </w:r>
    </w:p>
    <w:p>
      <w:pPr>
        <w:pStyle w:val="BodyText"/>
        <w:rPr/>
      </w:pPr>
      <w:r>
        <w:rPr/>
        <w:t>D. 194.400.000 đồng</w:t>
      </w:r>
    </w:p>
    <w:p>
      <w:pPr>
        <w:pStyle w:val="BodyText"/>
        <w:rPr/>
      </w:pPr>
      <w:r>
        <w:rPr>
          <w:rStyle w:val="Strong"/>
        </w:rPr>
        <w:t>Câu 24.</w:t>
      </w:r>
      <w:r>
        <w:rPr/>
        <w:t xml:space="preserve"> Tổ chức, cá nhân chi trả thu nhập có trách nhiệm đăng ký thuế thay cho cá nhân có thu nhập chưa có mã số thuế: </w:t>
      </w:r>
    </w:p>
    <w:p>
      <w:pPr>
        <w:pStyle w:val="BodyText"/>
        <w:rPr/>
      </w:pPr>
      <w:r>
        <w:rPr/>
        <w:t xml:space="preserve">A. Chậm nhất là 05 ngày làm việc kể từ ngày phát sinh nghĩa vụ thuế. </w:t>
      </w:r>
    </w:p>
    <w:p>
      <w:pPr>
        <w:pStyle w:val="BodyText"/>
        <w:rPr/>
      </w:pPr>
      <w:r>
        <w:rPr/>
        <w:t xml:space="preserve">B. Chậm nhất là 10 ngày làm việc kể từ ngày phát sinh nghĩa vụ thuế. </w:t>
      </w:r>
    </w:p>
    <w:p>
      <w:pPr>
        <w:pStyle w:val="BodyText"/>
        <w:rPr/>
      </w:pPr>
      <w:r>
        <w:rPr/>
        <w:t>C. Chậm nhất là 05 ngày làm việc kể từ ngày trước thời điểm nộp hồ sơ quyết toán thuế thu nhập cá nhân hàng năm.</w:t>
      </w:r>
    </w:p>
    <w:p>
      <w:pPr>
        <w:pStyle w:val="BodyText"/>
        <w:rPr/>
      </w:pPr>
      <w:r>
        <w:rPr/>
        <w:t>D. Chậm nhất là 10 ngày làm việc kể từ ngày trước thời điểm nộp hồ sơ quyết toán thuế thu nhập cá nhân hàng năm.</w:t>
      </w:r>
    </w:p>
    <w:p>
      <w:pPr>
        <w:pStyle w:val="BodyText"/>
        <w:rPr/>
      </w:pPr>
      <w:r>
        <w:rPr>
          <w:rStyle w:val="Strong"/>
        </w:rPr>
        <w:t>Câu 25.</w:t>
      </w:r>
      <w:r>
        <w:rPr/>
        <w:t xml:space="preserve"> Quy định về thời điểm xác định thuế GTGT đối với bán hàng hóa là: </w:t>
      </w:r>
    </w:p>
    <w:p>
      <w:pPr>
        <w:pStyle w:val="BodyText"/>
        <w:rPr/>
      </w:pPr>
      <w:r>
        <w:rPr/>
        <w:t xml:space="preserve">A. Thời điểm lập hóa đơn bán hàng hóa và đã thu được tiền </w:t>
      </w:r>
    </w:p>
    <w:p>
      <w:pPr>
        <w:pStyle w:val="BodyText"/>
        <w:rPr/>
      </w:pPr>
      <w:r>
        <w:rPr/>
        <w:t xml:space="preserve">B. Thời điểm chuyển giao quyền sở hữu hoặc quyền sử dụng hàng hóa cho người mua và đã thu được tiền. </w:t>
      </w:r>
    </w:p>
    <w:p>
      <w:pPr>
        <w:pStyle w:val="BodyText"/>
        <w:rPr/>
      </w:pPr>
      <w:r>
        <w:rPr/>
        <w:t>C. Thời điểm thỏa thuận mua hàng hóa hoặc thời điểm ký hợp đồng không phân biệt đã chuyển giao quyền sở hữu hoặc quyền sử dụng hàng hóa cho người mua hay chưa.</w:t>
      </w:r>
    </w:p>
    <w:p>
      <w:pPr>
        <w:pStyle w:val="BodyText"/>
        <w:rPr/>
      </w:pPr>
      <w:r>
        <w:rPr/>
        <w:t>D. Thời điểm chuyển giao quyền sở hữu hoặc quyền sử dụng hàng hóa cho người mua, không phân biệt đã thu được tiền hay chưa.</w:t>
      </w:r>
    </w:p>
    <w:p>
      <w:pPr>
        <w:pStyle w:val="BodyText"/>
        <w:rPr/>
      </w:pPr>
      <w:r>
        <w:rPr>
          <w:rStyle w:val="Strong"/>
        </w:rPr>
        <w:t>Câu 26.</w:t>
      </w:r>
      <w:r>
        <w:rPr/>
        <w:t xml:space="preserve"> Doanh nghiệp được tính vào chi phí được trừ khi xác định thu nhập chịu thuế TNDN đối với khoản chi nào dưới đây: </w:t>
      </w:r>
    </w:p>
    <w:p>
      <w:pPr>
        <w:pStyle w:val="BodyText"/>
        <w:rPr/>
      </w:pPr>
      <w:r>
        <w:rPr/>
        <w:t xml:space="preserve">A. Tiền thuế giá trị gia tăng đầu vào đã được khấu trừ. </w:t>
      </w:r>
    </w:p>
    <w:p>
      <w:pPr>
        <w:pStyle w:val="BodyText"/>
        <w:rPr/>
      </w:pPr>
      <w:r>
        <w:rPr/>
        <w:t xml:space="preserve">B. Tiền thuế Bảo vệ môi trường. </w:t>
      </w:r>
    </w:p>
    <w:p>
      <w:pPr>
        <w:pStyle w:val="BodyText"/>
        <w:rPr/>
      </w:pPr>
      <w:r>
        <w:rPr/>
        <w:t>C. Tiền thuế giá trị gia tăng nộp theo phương pháp khấu trừ.</w:t>
      </w:r>
    </w:p>
    <w:p>
      <w:pPr>
        <w:pStyle w:val="BodyText"/>
        <w:rPr/>
      </w:pPr>
      <w:r>
        <w:rPr/>
        <w:t>D. Không khoản chi nào nêu trên.</w:t>
      </w:r>
    </w:p>
    <w:p>
      <w:pPr>
        <w:pStyle w:val="BodyText"/>
        <w:rPr/>
      </w:pPr>
      <w:r>
        <w:rPr>
          <w:rStyle w:val="Strong"/>
        </w:rPr>
        <w:t>Câu 27.</w:t>
      </w:r>
      <w:r>
        <w:rPr/>
        <w:t xml:space="preserve"> Doanh nghiệp Việt Nam có dự án đầu tư ra nước ngoài. Theo pháp luật thuế TNDN hiện hành, khoản thu nhập (lãi), khoản lỗ phát sinh từ dự án thầu tự tại nước ngoài này có được bù trừ vào số lỗ, số thu nhập (lại) phát sinh trong nước của doanh nghiệp khi tính thuế TNDN hay không? </w:t>
      </w:r>
    </w:p>
    <w:p>
      <w:pPr>
        <w:pStyle w:val="BodyText"/>
        <w:rPr/>
      </w:pPr>
      <w:r>
        <w:rPr/>
        <w:t xml:space="preserve">A. Có được bù trừ. </w:t>
      </w:r>
    </w:p>
    <w:p>
      <w:pPr>
        <w:pStyle w:val="BodyText"/>
        <w:rPr/>
      </w:pPr>
      <w:r>
        <w:rPr/>
        <w:t xml:space="preserve">B. Không được bù trừ. </w:t>
      </w:r>
    </w:p>
    <w:p>
      <w:pPr>
        <w:pStyle w:val="BodyText"/>
        <w:rPr/>
      </w:pPr>
      <w:r>
        <w:rPr/>
        <w:t>C. Nếu lãi thì được bù trừ, lỗ thì không được bù trừ.</w:t>
      </w:r>
    </w:p>
    <w:p>
      <w:pPr>
        <w:pStyle w:val="BodyText"/>
        <w:rPr/>
      </w:pPr>
      <w:r>
        <w:rPr/>
        <w:t>D. Nếu lỗ thì được bù trừ, lãi thì không được bù trừ.</w:t>
      </w:r>
    </w:p>
    <w:p>
      <w:pPr>
        <w:pStyle w:val="BodyText"/>
        <w:rPr/>
      </w:pPr>
      <w:r>
        <w:rPr>
          <w:rStyle w:val="Strong"/>
        </w:rPr>
        <w:t>Câu 28.</w:t>
      </w:r>
      <w:r>
        <w:rPr/>
        <w:t xml:space="preserve"> Cá nhân cư trú A có thu nhập tính thuế từ tiền lương tiền công trong năm 2022 là 192 triệu đồng. Số thuế TNCN cá nhân A phải nộp đối với thu nhập từ tiền lương tiền công là: </w:t>
      </w:r>
    </w:p>
    <w:p>
      <w:pPr>
        <w:pStyle w:val="BodyText"/>
        <w:rPr/>
      </w:pPr>
      <w:r>
        <w:rPr/>
        <w:t xml:space="preserve">A. 9.600.000 đồng. </w:t>
      </w:r>
    </w:p>
    <w:p>
      <w:pPr>
        <w:pStyle w:val="BodyText"/>
        <w:rPr/>
      </w:pPr>
      <w:r>
        <w:rPr/>
        <w:t xml:space="preserve">B. 19.200.000 đồng. </w:t>
      </w:r>
    </w:p>
    <w:p>
      <w:pPr>
        <w:pStyle w:val="BodyText"/>
        <w:rPr/>
      </w:pPr>
      <w:r>
        <w:rPr/>
        <w:t>C. 18.600.000 đồng.</w:t>
      </w:r>
    </w:p>
    <w:p>
      <w:pPr>
        <w:pStyle w:val="BodyText"/>
        <w:rPr/>
      </w:pPr>
      <w:r>
        <w:rPr/>
        <w:t>D. 19.800.000 đồng.</w:t>
      </w:r>
    </w:p>
    <w:p>
      <w:pPr>
        <w:pStyle w:val="BodyText"/>
        <w:rPr/>
      </w:pPr>
      <w:r>
        <w:rPr>
          <w:rStyle w:val="Strong"/>
        </w:rPr>
        <w:t>Câu 29.</w:t>
      </w:r>
      <w:r>
        <w:rPr/>
        <w:t xml:space="preserve"> Theo quy định của Luật thuế TNDN, mức trích lập Quỹ phát triển khoa học và công nghệ của doanh nghiệp thành lập và hoạt động theo quy định của pháp luật Việt Nam: </w:t>
      </w:r>
    </w:p>
    <w:p>
      <w:pPr>
        <w:pStyle w:val="BodyText"/>
        <w:rPr/>
      </w:pPr>
      <w:r>
        <w:rPr/>
        <w:t xml:space="preserve">A. Tối đa 15% từ thu nhập tính thuế. </w:t>
      </w:r>
    </w:p>
    <w:p>
      <w:pPr>
        <w:pStyle w:val="BodyText"/>
        <w:rPr/>
      </w:pPr>
      <w:r>
        <w:rPr/>
        <w:t xml:space="preserve">B. Tối đa 10% từ thu nhập tính thuế. </w:t>
      </w:r>
    </w:p>
    <w:p>
      <w:pPr>
        <w:pStyle w:val="BodyText"/>
        <w:rPr/>
      </w:pPr>
      <w:r>
        <w:rPr/>
        <w:t xml:space="preserve">C.Tối đa 5% từ thu nhập tính thuế. </w:t>
      </w:r>
    </w:p>
    <w:p>
      <w:pPr>
        <w:pStyle w:val="BodyText"/>
        <w:rPr/>
      </w:pPr>
      <w:r>
        <w:rPr/>
        <w:t>D. Tối đa 3% từ thu nhập tính thuế.</w:t>
      </w:r>
    </w:p>
    <w:p>
      <w:pPr>
        <w:pStyle w:val="BodyText"/>
        <w:rPr/>
      </w:pPr>
      <w:r>
        <w:rPr>
          <w:rStyle w:val="Strong"/>
        </w:rPr>
        <w:t>Câu 30.</w:t>
      </w:r>
      <w:r>
        <w:rPr/>
        <w:t xml:space="preserve"> Thời hạn nộp hồ sơ khai thuế giá trị gia tăng kỳ tính thuế tháng 04/2023 bằng phương thức giao dịch điện tử chậm nhất là: </w:t>
      </w:r>
    </w:p>
    <w:p>
      <w:pPr>
        <w:pStyle w:val="BodyText"/>
        <w:rPr/>
      </w:pPr>
      <w:r>
        <w:rPr/>
        <w:t xml:space="preserve">A. Ngày 20/05/2023 (thứ bảy) </w:t>
      </w:r>
    </w:p>
    <w:p>
      <w:pPr>
        <w:pStyle w:val="BodyText"/>
        <w:rPr/>
      </w:pPr>
      <w:r>
        <w:rPr/>
        <w:t xml:space="preserve">B. Ngày 22/05/2023 (thứ hai) </w:t>
      </w:r>
    </w:p>
    <w:p>
      <w:pPr>
        <w:pStyle w:val="BodyText"/>
        <w:rPr/>
      </w:pPr>
      <w:r>
        <w:rPr/>
        <w:t>C. Ngày 30/05/2023 (thứ ba)</w:t>
      </w:r>
    </w:p>
    <w:p>
      <w:pPr>
        <w:pStyle w:val="BodyText"/>
        <w:rPr/>
      </w:pPr>
      <w:r>
        <w:rPr/>
        <w:t>D. Ngày 31/05/2023 (thứ tư)</w:t>
      </w:r>
    </w:p>
    <w:p>
      <w:pPr>
        <w:pStyle w:val="BodyText"/>
        <w:rPr/>
      </w:pPr>
      <w:r>
        <w:rPr>
          <w:rStyle w:val="Strong"/>
        </w:rPr>
        <w:t>PHẦN 2 – BÀI TẬP (7 điểm)</w:t>
      </w:r>
    </w:p>
    <w:p>
      <w:pPr>
        <w:pStyle w:val="BodyText"/>
        <w:rPr/>
      </w:pPr>
      <w:r>
        <w:rPr>
          <w:rStyle w:val="Strong"/>
        </w:rPr>
        <w:t>Bài 1: Đề thuế GTGT (3,5 điểm):</w:t>
      </w:r>
      <w:r>
        <w:rPr/>
        <w:t xml:space="preserve"> Công ty cổ phần Phúc Anh; kê khai, nộp thuế giá trị gia tăng theo phương pháp khấu trừ thuế và theo tháng. Trong tháng 04/2023 có tình hình kinh doanh ghi nhận như sau:</w:t>
      </w:r>
    </w:p>
    <w:p>
      <w:pPr>
        <w:pStyle w:val="BodyText"/>
        <w:numPr>
          <w:ilvl w:val="0"/>
          <w:numId w:val="7"/>
        </w:numPr>
        <w:tabs>
          <w:tab w:val="clear" w:pos="720"/>
          <w:tab w:val="left" w:pos="0" w:leader="none"/>
        </w:tabs>
        <w:spacing w:before="0" w:after="0"/>
        <w:ind w:hanging="283" w:left="709"/>
        <w:rPr/>
      </w:pPr>
      <w:r>
        <w:rPr/>
        <w:t xml:space="preserve">Nhập khẩu 100 máy vi tính của nhà cung cấp nước ngoài để bán trong nước, trị giá tính thuế chưa có thuế GTGT 3.200 triệu đồng, thuế GTGT khâu nhập khẩu theo chứng từ biên lai nộp thuế GTGT bằng tiền mặt 320 triệu đồng. </w:t>
      </w:r>
    </w:p>
    <w:p>
      <w:pPr>
        <w:pStyle w:val="BodyText"/>
        <w:numPr>
          <w:ilvl w:val="0"/>
          <w:numId w:val="7"/>
        </w:numPr>
        <w:tabs>
          <w:tab w:val="clear" w:pos="720"/>
          <w:tab w:val="left" w:pos="0" w:leader="none"/>
        </w:tabs>
        <w:spacing w:before="0" w:after="0"/>
        <w:ind w:hanging="283" w:left="709"/>
        <w:rPr/>
      </w:pPr>
      <w:r>
        <w:rPr/>
        <w:t xml:space="preserve">Mua một xe ô tô 7 chỗ ngồi của công ty Việt Hưng để làm tài sản cố định phục vụ chung cho hoạt động kinh doanh của công ty, giá mua chưa thuế GTGT 2.100 triệu đồng. </w:t>
      </w:r>
    </w:p>
    <w:p>
      <w:pPr>
        <w:pStyle w:val="BodyText"/>
        <w:numPr>
          <w:ilvl w:val="0"/>
          <w:numId w:val="7"/>
        </w:numPr>
        <w:tabs>
          <w:tab w:val="clear" w:pos="720"/>
          <w:tab w:val="left" w:pos="0" w:leader="none"/>
        </w:tabs>
        <w:spacing w:before="0" w:after="0"/>
        <w:ind w:hanging="283" w:left="709"/>
        <w:rPr/>
      </w:pPr>
      <w:r>
        <w:rPr/>
        <w:t xml:space="preserve">Cung cấp sản phẩm phần mềm cho tổ chức ở nước ngoài X, giá bán chưa thuế 8.200 triệu đồng, phần mềm được giao cho tổ chức X qua đường Internet và được tổ chức X thanh toán qua ngân hàng. </w:t>
      </w:r>
    </w:p>
    <w:p>
      <w:pPr>
        <w:pStyle w:val="BodyText"/>
        <w:numPr>
          <w:ilvl w:val="0"/>
          <w:numId w:val="7"/>
        </w:numPr>
        <w:tabs>
          <w:tab w:val="clear" w:pos="720"/>
          <w:tab w:val="left" w:pos="0" w:leader="none"/>
        </w:tabs>
        <w:spacing w:before="0" w:after="0"/>
        <w:ind w:hanging="283" w:left="709"/>
        <w:rPr/>
      </w:pPr>
      <w:r>
        <w:rPr/>
        <w:t xml:space="preserve">Cung cấp dịch vụ quản trị, bảo trì hoạt động của phần mềm và hệ thống thông tin cho công ty Sao Việt, trị giá hợp đồng 800 triệu đồng. </w:t>
      </w:r>
    </w:p>
    <w:p>
      <w:pPr>
        <w:pStyle w:val="BodyText"/>
        <w:numPr>
          <w:ilvl w:val="0"/>
          <w:numId w:val="7"/>
        </w:numPr>
        <w:tabs>
          <w:tab w:val="clear" w:pos="720"/>
          <w:tab w:val="left" w:pos="0" w:leader="none"/>
        </w:tabs>
        <w:spacing w:before="0" w:after="0"/>
        <w:ind w:hanging="283" w:left="709"/>
        <w:rPr/>
      </w:pPr>
      <w:r>
        <w:rPr/>
        <w:t xml:space="preserve">Bán sản phẩm phần mềm cho công ty Thuận An, trị giá hợp đồng chưa có thuế GTGT 8 tỷ đồng. </w:t>
      </w:r>
    </w:p>
    <w:p>
      <w:pPr>
        <w:pStyle w:val="BodyText"/>
        <w:numPr>
          <w:ilvl w:val="0"/>
          <w:numId w:val="7"/>
        </w:numPr>
        <w:tabs>
          <w:tab w:val="clear" w:pos="720"/>
          <w:tab w:val="left" w:pos="0" w:leader="none"/>
        </w:tabs>
        <w:spacing w:before="0" w:after="0"/>
        <w:ind w:hanging="283" w:left="709"/>
        <w:rPr/>
      </w:pPr>
      <w:r>
        <w:rPr/>
        <w:t xml:space="preserve">Bán 200 máy vi tính cho công ty Đông Hải, giá bán chưa có thuế GTGT 25 triệu đồng/máy. </w:t>
      </w:r>
    </w:p>
    <w:p>
      <w:pPr>
        <w:pStyle w:val="BodyText"/>
        <w:numPr>
          <w:ilvl w:val="0"/>
          <w:numId w:val="7"/>
        </w:numPr>
        <w:tabs>
          <w:tab w:val="clear" w:pos="720"/>
          <w:tab w:val="left" w:pos="0" w:leader="none"/>
        </w:tabs>
        <w:spacing w:before="0" w:after="0"/>
        <w:ind w:hanging="283" w:left="709"/>
        <w:rPr/>
      </w:pPr>
      <w:r>
        <w:rPr/>
        <w:t xml:space="preserve">Mua hàng hóa, dịch vụ khác ở trong nước phục vụ chung cho hoạt động của công ty không hạch toán riêng được, trị giá chưa có thuế GTGT 186 triệu đồng, số thuế GTGT 18,6 triệu đồng. Biết hàng hóa, dịch vụ mua vào có hóa đơn GTGT, chứng từ đầy đủ, thanh toán qua ngân hàng theo đúng quy định. </w:t>
      </w:r>
    </w:p>
    <w:p>
      <w:pPr>
        <w:pStyle w:val="BodyText"/>
        <w:numPr>
          <w:ilvl w:val="0"/>
          <w:numId w:val="7"/>
        </w:numPr>
        <w:tabs>
          <w:tab w:val="clear" w:pos="720"/>
          <w:tab w:val="left" w:pos="0" w:leader="none"/>
        </w:tabs>
        <w:ind w:hanging="283" w:left="709"/>
        <w:rPr/>
      </w:pPr>
      <w:r>
        <w:rPr/>
        <w:t xml:space="preserve">Trong tháng 4/2023, Công ty nộp hồ sơ bổ sung hồ sơ khai thuế: Hồ sơ khai thuế GTGT tháng 10/2022, kê khai điều chỉnh tăng thuế GTGT đầu ra: hóa đơn bán ra bỏ sót dẫn đến giảm số thuế GTGT đầu vào còn được khấu trừ chuyển sang kỳ sau kỳ kê khai tháng 10/2022 là 20 triệu đồng). </w:t>
      </w:r>
    </w:p>
    <w:p>
      <w:pPr>
        <w:pStyle w:val="BodyText"/>
        <w:rPr/>
      </w:pPr>
      <w:r>
        <w:rPr>
          <w:rStyle w:val="Strong"/>
        </w:rPr>
        <w:t>Yêu cầu:</w:t>
      </w:r>
      <w:r>
        <w:rPr/>
        <w:t xml:space="preserve"> Căn cứ vào các dữ liệu trên, Anh/Chị hãy:</w:t>
      </w:r>
    </w:p>
    <w:p>
      <w:pPr>
        <w:pStyle w:val="BodyText"/>
        <w:numPr>
          <w:ilvl w:val="0"/>
          <w:numId w:val="8"/>
        </w:numPr>
        <w:tabs>
          <w:tab w:val="clear" w:pos="720"/>
          <w:tab w:val="left" w:pos="0" w:leader="none"/>
        </w:tabs>
        <w:spacing w:before="0" w:after="0"/>
        <w:ind w:hanging="283" w:left="709"/>
        <w:rPr/>
      </w:pPr>
      <w:r>
        <w:rPr/>
        <w:t xml:space="preserve">Tính toán chi tiết số thuế GTGT phải nộp hoặc còn được khấu trừ trong kỳ tính thuế tháng 4/2023 của Công ty cổ phần Phúc Anh. </w:t>
      </w:r>
    </w:p>
    <w:p>
      <w:pPr>
        <w:pStyle w:val="BodyText"/>
        <w:numPr>
          <w:ilvl w:val="0"/>
          <w:numId w:val="8"/>
        </w:numPr>
        <w:tabs>
          <w:tab w:val="clear" w:pos="720"/>
          <w:tab w:val="left" w:pos="0" w:leader="none"/>
        </w:tabs>
        <w:ind w:hanging="283" w:left="709"/>
        <w:rPr/>
      </w:pPr>
      <w:r>
        <w:rPr/>
        <w:t xml:space="preserve">Lập hồ sơ khai thuế GTGT kỳ kê khai tháng 4/2023 của công ty cổ phần Phúc Anh. </w:t>
      </w:r>
    </w:p>
    <w:p>
      <w:pPr>
        <w:pStyle w:val="BodyText"/>
        <w:rPr/>
      </w:pPr>
      <w:r>
        <w:rPr>
          <w:rStyle w:val="Strong"/>
        </w:rPr>
        <w:t>Biết rằng:</w:t>
      </w:r>
      <w:r>
        <w:rPr/>
        <w:t xml:space="preserve"> – Thuế GTGT còn được khấu trừ kỳ trước chuyển sang 32 triệu đồng. – Hoạt động xuất khẩu có đầy đủ hồ sơ, chứng từ và thực hiện đầy đủ nghĩa vụ thuế phát sinh trong kỳ theo quy định. – Cơ quan thuế và cơ quan chức năng có thẩm quyền chưa kiểm tra, thanh tra thuế năm 2022 của công ty.</w:t>
      </w:r>
    </w:p>
    <w:p>
      <w:pPr>
        <w:pStyle w:val="BodyText"/>
        <w:rPr/>
      </w:pPr>
      <w:r>
        <w:rPr>
          <w:rStyle w:val="Strong"/>
        </w:rPr>
        <w:t>Bài 2: Đề thuế TNDN (3,5 điểm):</w:t>
      </w:r>
      <w:r>
        <w:rPr/>
        <w:t xml:space="preserve"> Công ty TNHH VP kinh doanh thương mại xe ô tô; Kê khai, nộp thuế GTGT theo phương pháp khấu trừ. Năm 2022 công ty có tình hình hoạt động kinh doanh ghi nhận trên sổ sách kế toán như sau:</w:t>
      </w:r>
    </w:p>
    <w:p>
      <w:pPr>
        <w:pStyle w:val="BodyText"/>
        <w:numPr>
          <w:ilvl w:val="0"/>
          <w:numId w:val="9"/>
        </w:numPr>
        <w:tabs>
          <w:tab w:val="clear" w:pos="720"/>
          <w:tab w:val="left" w:pos="0" w:leader="none"/>
        </w:tabs>
        <w:spacing w:before="0" w:after="0"/>
        <w:ind w:hanging="283" w:left="709"/>
        <w:rPr/>
      </w:pPr>
      <w:r>
        <w:rPr/>
        <w:t xml:space="preserve">Tổng doanh thu kinh doanh ô tô phát sinh trong kỳ là: 190 tỷ đồng. </w:t>
      </w:r>
    </w:p>
    <w:p>
      <w:pPr>
        <w:pStyle w:val="BodyText"/>
        <w:numPr>
          <w:ilvl w:val="0"/>
          <w:numId w:val="9"/>
        </w:numPr>
        <w:tabs>
          <w:tab w:val="clear" w:pos="720"/>
          <w:tab w:val="left" w:pos="0" w:leader="none"/>
        </w:tabs>
        <w:spacing w:before="0" w:after="0"/>
        <w:ind w:hanging="283" w:left="709"/>
        <w:rPr/>
      </w:pPr>
      <w:r>
        <w:rPr/>
        <w:t xml:space="preserve">Doanh thu hoạt động tài chính là: 2,5 tỷ đồng. Trong đó: – Lãi chênh lệch tỷ giá hối đoái do đánh giá các khoản nợ phải trả có gốc ngoại tệ cuối kỳ kế toán là 1 tỷ đồng. – Lãi chênh lệch tỷ giá hối đoái do đánh giá lại các khoản tiền tiền mặt, tiền gửi, tiền đang chuyển có gốc ngoại tệ cuối kỳ kế toán là 1,5 tỷ đồng. </w:t>
      </w:r>
    </w:p>
    <w:p>
      <w:pPr>
        <w:pStyle w:val="BodyText"/>
        <w:numPr>
          <w:ilvl w:val="0"/>
          <w:numId w:val="9"/>
        </w:numPr>
        <w:tabs>
          <w:tab w:val="clear" w:pos="720"/>
          <w:tab w:val="left" w:pos="0" w:leader="none"/>
        </w:tabs>
        <w:spacing w:before="0" w:after="0"/>
        <w:ind w:hanging="283" w:left="709"/>
        <w:rPr/>
      </w:pPr>
      <w:r>
        <w:rPr/>
        <w:t xml:space="preserve">Thu nhập khác phát sinh trong kỳ: 26,25 tỷ đồng. Trong đó: – Thu nhập phát sinh từ hoạt động góp vốn liên doanh với Công ty B trong nước được chia sau khi đã nộp thuế TNDN là 5 tỷ đồng. – Thu nhập phát sinh từ hoạt động kinh doanh tại nước ngoài sau khi nộp thuế TNDN tại nước ngoài là 21,25 tỷ đồng. Công ty Y nước ngoài khấu trừ nộp thay theo thuế suất thuế TNDN tại nước ngoài là 15%. Việt Nam và nước doanh nghiệp đầu tư chưa ký Hiệp định tránh đánh thuế hai lần. </w:t>
      </w:r>
    </w:p>
    <w:p>
      <w:pPr>
        <w:pStyle w:val="BodyText"/>
        <w:numPr>
          <w:ilvl w:val="0"/>
          <w:numId w:val="9"/>
        </w:numPr>
        <w:tabs>
          <w:tab w:val="clear" w:pos="720"/>
          <w:tab w:val="left" w:pos="0" w:leader="none"/>
        </w:tabs>
        <w:ind w:hanging="283" w:left="709"/>
        <w:rPr/>
      </w:pPr>
      <w:r>
        <w:rPr/>
        <w:t xml:space="preserve">Tổng chi phí phát sinh thực tế trong kỳ là: 159,5 tỷ đồng. Trong đó: a. Giá vốn hàng bán: 105 tỷ đồng b. Chi phí bán hàng: 30 tỷ đồng c. Chi phí quản lý doanh nghiệp: 20 tỷ đồng d. Chi phí tài chính (chi phí lãi vay): 3,5 tỷ đồng e. Chi phí khác: 1 tỷ đồng Biết rằng: -Trong giá vốn hàng bán có chi phí mua 5 xe ô tô của Công ty B có giá mua chưa có thuế GTGT ghi trên hóa đơn là 5,75 tỷ đồng, công ty chưa thanh toán tiền hàng cho công ty B và chi phí mua 1 xe ô tô của Ông C (cá nhân không kinh doanh), giá mua ghi trên hợp đồng mua bán và chứng từ chi tiền mặt là 3 tỷ đồng. – Chi phí sửa chữa mặt bằng, căn cứ vào hóa đơn hợp pháp và chứng từ thanh toán qua ngân hàng Công ty đã hạch toán vào chi phí trong kỳ là: 2,5 tỷ đồng. Mặt bằng này trong năm 2022 chưa hoàn thành (dự kiến hoàn thành, bàn giao đưa vào sử dụng trong quý II/2023). Các khoản chi phí phát sinh còn lại đáp ứng các điều kiện được tính vào chí phí được trừ khi tính thuế TNDN. </w:t>
      </w:r>
    </w:p>
    <w:p>
      <w:pPr>
        <w:pStyle w:val="BodyText"/>
        <w:rPr/>
      </w:pPr>
      <w:r>
        <w:rPr>
          <w:rStyle w:val="Strong"/>
        </w:rPr>
        <w:t>Yêu cầu:</w:t>
      </w:r>
    </w:p>
    <w:p>
      <w:pPr>
        <w:pStyle w:val="BodyText"/>
        <w:numPr>
          <w:ilvl w:val="0"/>
          <w:numId w:val="10"/>
        </w:numPr>
        <w:tabs>
          <w:tab w:val="clear" w:pos="720"/>
          <w:tab w:val="left" w:pos="0" w:leader="none"/>
        </w:tabs>
        <w:spacing w:before="0" w:after="0"/>
        <w:ind w:hanging="283" w:left="709"/>
        <w:rPr/>
      </w:pPr>
      <w:r>
        <w:rPr/>
        <w:t xml:space="preserve">Tính thuế TNDN phải nộp năm 2022 của Công ty VP (có giải thích cách tính)? Biết rằng năm 2022: Công ty VP không được hưởng ưu đãi thuế TNDN; không trích lập quỹ phát triển khoa học công nghệ; không phát sinh giao dịch liên kết với các doanh nghiệp có quan hệ liên kết. Lỗ của hoạt động kinh doanh các năm trước tính đến năm 2022 còn là: 12 tỷ đồng (trong đó lỗ phát sinh năm 2016 là 6 tỷ đồng, năm 2020 là 2 tỷ đồng, năm 2021 là 4 tỷ đồng). </w:t>
      </w:r>
    </w:p>
    <w:p>
      <w:pPr>
        <w:pStyle w:val="BodyText"/>
        <w:numPr>
          <w:ilvl w:val="0"/>
          <w:numId w:val="10"/>
        </w:numPr>
        <w:tabs>
          <w:tab w:val="clear" w:pos="720"/>
          <w:tab w:val="left" w:pos="0" w:leader="none"/>
        </w:tabs>
        <w:ind w:hanging="283" w:left="709"/>
        <w:rPr/>
      </w:pPr>
      <w:r>
        <w:rPr/>
        <w:t xml:space="preserve">Lập hồ sơ khai quyết toán thuế TNDN năm 2022 của Công ty VP? Công ty đã tạm nộp thuế TNDN tính tới ngày 31/03/2023 là 5 tỷ đồng. </w:t>
      </w:r>
    </w:p>
    <w:p>
      <w:pPr>
        <w:pStyle w:val="BodyText"/>
        <w:rPr/>
      </w:pPr>
      <w:r>
        <w:rPr>
          <w:rStyle w:val="Strong"/>
        </w:rPr>
        <w:t>Gợi ý lời giải Đề thi đại lý thuế 2023 môn thuế</w:t>
      </w:r>
    </w:p>
    <w:p>
      <w:pPr>
        <w:pStyle w:val="BodyText"/>
        <w:rPr/>
      </w:pPr>
      <w:r>
        <w:rPr>
          <w:rStyle w:val="Strong"/>
        </w:rPr>
        <w:t>Gợi ý lời giải PHẦN I – CÂU HỎI TRẮC NGHIỆM (3 điểm)</w:t>
      </w:r>
    </w:p>
    <w:tbl>
      <w:tblPr>
        <w:tblW w:w="6515" w:type="dxa"/>
        <w:jc w:val="left"/>
        <w:tblInd w:w="28" w:type="dxa"/>
        <w:tblLayout w:type="fixed"/>
        <w:tblCellMar>
          <w:top w:w="28" w:type="dxa"/>
          <w:left w:w="28" w:type="dxa"/>
          <w:bottom w:w="28" w:type="dxa"/>
          <w:right w:w="28" w:type="dxa"/>
        </w:tblCellMar>
      </w:tblPr>
      <w:tblGrid>
        <w:gridCol w:w="496"/>
        <w:gridCol w:w="810"/>
        <w:gridCol w:w="481"/>
        <w:gridCol w:w="810"/>
        <w:gridCol w:w="481"/>
        <w:gridCol w:w="810"/>
        <w:gridCol w:w="481"/>
        <w:gridCol w:w="810"/>
        <w:gridCol w:w="481"/>
        <w:gridCol w:w="855"/>
      </w:tblGrid>
      <w:tr>
        <w:trPr/>
        <w:tc>
          <w:tcPr>
            <w:tcW w:w="496" w:type="dxa"/>
            <w:tcBorders/>
            <w:vAlign w:val="center"/>
          </w:tcPr>
          <w:p>
            <w:pPr>
              <w:pStyle w:val="TableHeading"/>
              <w:suppressLineNumbers/>
              <w:spacing w:before="0" w:after="200"/>
              <w:jc w:val="center"/>
              <w:rPr/>
            </w:pPr>
            <w:r>
              <w:rPr>
                <w:rStyle w:val="Strong"/>
                <w:b/>
                <w:bCs/>
              </w:rPr>
              <w:t>Câu</w:t>
            </w:r>
          </w:p>
        </w:tc>
        <w:tc>
          <w:tcPr>
            <w:tcW w:w="810" w:type="dxa"/>
            <w:tcBorders/>
            <w:vAlign w:val="center"/>
          </w:tcPr>
          <w:p>
            <w:pPr>
              <w:pStyle w:val="TableHeading"/>
              <w:suppressLineNumbers/>
              <w:spacing w:before="0" w:after="200"/>
              <w:jc w:val="center"/>
              <w:rPr/>
            </w:pPr>
            <w:r>
              <w:rPr>
                <w:rStyle w:val="Strong"/>
                <w:b/>
                <w:bCs/>
              </w:rPr>
              <w:t>Đáp án</w:t>
            </w:r>
          </w:p>
        </w:tc>
        <w:tc>
          <w:tcPr>
            <w:tcW w:w="481" w:type="dxa"/>
            <w:tcBorders/>
            <w:vAlign w:val="center"/>
          </w:tcPr>
          <w:p>
            <w:pPr>
              <w:pStyle w:val="TableHeading"/>
              <w:suppressLineNumbers/>
              <w:spacing w:before="0" w:after="200"/>
              <w:jc w:val="center"/>
              <w:rPr/>
            </w:pPr>
            <w:r>
              <w:rPr>
                <w:rStyle w:val="Strong"/>
                <w:b/>
                <w:bCs/>
              </w:rPr>
              <w:t>Câu</w:t>
            </w:r>
          </w:p>
        </w:tc>
        <w:tc>
          <w:tcPr>
            <w:tcW w:w="810" w:type="dxa"/>
            <w:tcBorders/>
            <w:vAlign w:val="center"/>
          </w:tcPr>
          <w:p>
            <w:pPr>
              <w:pStyle w:val="TableHeading"/>
              <w:suppressLineNumbers/>
              <w:spacing w:before="0" w:after="200"/>
              <w:jc w:val="center"/>
              <w:rPr/>
            </w:pPr>
            <w:r>
              <w:rPr>
                <w:rStyle w:val="Strong"/>
                <w:b/>
                <w:bCs/>
              </w:rPr>
              <w:t>Đáp án</w:t>
            </w:r>
          </w:p>
        </w:tc>
        <w:tc>
          <w:tcPr>
            <w:tcW w:w="481" w:type="dxa"/>
            <w:tcBorders/>
            <w:vAlign w:val="center"/>
          </w:tcPr>
          <w:p>
            <w:pPr>
              <w:pStyle w:val="TableHeading"/>
              <w:suppressLineNumbers/>
              <w:spacing w:before="0" w:after="200"/>
              <w:jc w:val="center"/>
              <w:rPr/>
            </w:pPr>
            <w:r>
              <w:rPr>
                <w:rStyle w:val="Strong"/>
                <w:b/>
                <w:bCs/>
              </w:rPr>
              <w:t>Câu</w:t>
            </w:r>
          </w:p>
        </w:tc>
        <w:tc>
          <w:tcPr>
            <w:tcW w:w="810" w:type="dxa"/>
            <w:tcBorders/>
            <w:vAlign w:val="center"/>
          </w:tcPr>
          <w:p>
            <w:pPr>
              <w:pStyle w:val="TableHeading"/>
              <w:suppressLineNumbers/>
              <w:spacing w:before="0" w:after="200"/>
              <w:jc w:val="center"/>
              <w:rPr/>
            </w:pPr>
            <w:r>
              <w:rPr>
                <w:rStyle w:val="Strong"/>
                <w:b/>
                <w:bCs/>
              </w:rPr>
              <w:t>Đáp án</w:t>
            </w:r>
          </w:p>
        </w:tc>
        <w:tc>
          <w:tcPr>
            <w:tcW w:w="481" w:type="dxa"/>
            <w:tcBorders/>
            <w:vAlign w:val="center"/>
          </w:tcPr>
          <w:p>
            <w:pPr>
              <w:pStyle w:val="TableHeading"/>
              <w:suppressLineNumbers/>
              <w:spacing w:before="0" w:after="200"/>
              <w:jc w:val="center"/>
              <w:rPr/>
            </w:pPr>
            <w:r>
              <w:rPr>
                <w:rStyle w:val="Strong"/>
                <w:b/>
                <w:bCs/>
              </w:rPr>
              <w:t>Câu</w:t>
            </w:r>
          </w:p>
        </w:tc>
        <w:tc>
          <w:tcPr>
            <w:tcW w:w="810" w:type="dxa"/>
            <w:tcBorders/>
            <w:vAlign w:val="center"/>
          </w:tcPr>
          <w:p>
            <w:pPr>
              <w:pStyle w:val="TableHeading"/>
              <w:suppressLineNumbers/>
              <w:spacing w:before="0" w:after="200"/>
              <w:jc w:val="center"/>
              <w:rPr/>
            </w:pPr>
            <w:r>
              <w:rPr>
                <w:rStyle w:val="Strong"/>
                <w:b/>
                <w:bCs/>
              </w:rPr>
              <w:t>Đáp án</w:t>
            </w:r>
          </w:p>
        </w:tc>
        <w:tc>
          <w:tcPr>
            <w:tcW w:w="481" w:type="dxa"/>
            <w:tcBorders/>
            <w:vAlign w:val="center"/>
          </w:tcPr>
          <w:p>
            <w:pPr>
              <w:pStyle w:val="TableHeading"/>
              <w:suppressLineNumbers/>
              <w:spacing w:before="0" w:after="200"/>
              <w:jc w:val="center"/>
              <w:rPr/>
            </w:pPr>
            <w:r>
              <w:rPr>
                <w:rStyle w:val="Strong"/>
                <w:b/>
                <w:bCs/>
              </w:rPr>
              <w:t>Câu</w:t>
            </w:r>
          </w:p>
        </w:tc>
        <w:tc>
          <w:tcPr>
            <w:tcW w:w="855" w:type="dxa"/>
            <w:tcBorders/>
            <w:vAlign w:val="center"/>
          </w:tcPr>
          <w:p>
            <w:pPr>
              <w:pStyle w:val="TableHeading"/>
              <w:suppressLineNumbers/>
              <w:spacing w:before="0" w:after="200"/>
              <w:jc w:val="center"/>
              <w:rPr/>
            </w:pPr>
            <w:r>
              <w:rPr>
                <w:rStyle w:val="Strong"/>
                <w:b/>
                <w:bCs/>
              </w:rPr>
              <w:t>Đáp án</w:t>
            </w:r>
          </w:p>
        </w:tc>
      </w:tr>
      <w:tr>
        <w:trPr/>
        <w:tc>
          <w:tcPr>
            <w:tcW w:w="496" w:type="dxa"/>
            <w:tcBorders/>
            <w:vAlign w:val="center"/>
          </w:tcPr>
          <w:p>
            <w:pPr>
              <w:pStyle w:val="TableContents"/>
              <w:widowControl w:val="false"/>
              <w:suppressLineNumbers/>
              <w:spacing w:before="0" w:after="200"/>
              <w:rPr/>
            </w:pPr>
            <w:r>
              <w:rPr/>
              <w:t>1</w:t>
            </w:r>
          </w:p>
        </w:tc>
        <w:tc>
          <w:tcPr>
            <w:tcW w:w="810" w:type="dxa"/>
            <w:tcBorders/>
            <w:vAlign w:val="center"/>
          </w:tcPr>
          <w:p>
            <w:pPr>
              <w:pStyle w:val="TableContents"/>
              <w:widowControl w:val="false"/>
              <w:suppressLineNumbers/>
              <w:spacing w:before="0" w:after="200"/>
              <w:rPr/>
            </w:pPr>
            <w:r>
              <w:rPr/>
              <w:t>A</w:t>
            </w:r>
          </w:p>
        </w:tc>
        <w:tc>
          <w:tcPr>
            <w:tcW w:w="481" w:type="dxa"/>
            <w:tcBorders/>
            <w:vAlign w:val="center"/>
          </w:tcPr>
          <w:p>
            <w:pPr>
              <w:pStyle w:val="TableContents"/>
              <w:widowControl w:val="false"/>
              <w:suppressLineNumbers/>
              <w:spacing w:before="0" w:after="200"/>
              <w:rPr/>
            </w:pPr>
            <w:r>
              <w:rPr/>
              <w:t>7</w:t>
            </w:r>
          </w:p>
        </w:tc>
        <w:tc>
          <w:tcPr>
            <w:tcW w:w="810" w:type="dxa"/>
            <w:tcBorders/>
            <w:vAlign w:val="center"/>
          </w:tcPr>
          <w:p>
            <w:pPr>
              <w:pStyle w:val="TableContents"/>
              <w:widowControl w:val="false"/>
              <w:suppressLineNumbers/>
              <w:spacing w:before="0" w:after="200"/>
              <w:rPr/>
            </w:pPr>
            <w:r>
              <w:rPr/>
              <w:t>A</w:t>
            </w:r>
          </w:p>
        </w:tc>
        <w:tc>
          <w:tcPr>
            <w:tcW w:w="481" w:type="dxa"/>
            <w:tcBorders/>
            <w:vAlign w:val="center"/>
          </w:tcPr>
          <w:p>
            <w:pPr>
              <w:pStyle w:val="TableContents"/>
              <w:widowControl w:val="false"/>
              <w:suppressLineNumbers/>
              <w:spacing w:before="0" w:after="200"/>
              <w:rPr/>
            </w:pPr>
            <w:r>
              <w:rPr/>
              <w:t>13</w:t>
            </w:r>
          </w:p>
        </w:tc>
        <w:tc>
          <w:tcPr>
            <w:tcW w:w="810" w:type="dxa"/>
            <w:tcBorders/>
            <w:vAlign w:val="center"/>
          </w:tcPr>
          <w:p>
            <w:pPr>
              <w:pStyle w:val="TableContents"/>
              <w:widowControl w:val="false"/>
              <w:suppressLineNumbers/>
              <w:spacing w:before="0" w:after="200"/>
              <w:rPr/>
            </w:pPr>
            <w:r>
              <w:rPr/>
              <w:t>A</w:t>
            </w:r>
          </w:p>
        </w:tc>
        <w:tc>
          <w:tcPr>
            <w:tcW w:w="481" w:type="dxa"/>
            <w:tcBorders/>
            <w:vAlign w:val="center"/>
          </w:tcPr>
          <w:p>
            <w:pPr>
              <w:pStyle w:val="TableContents"/>
              <w:widowControl w:val="false"/>
              <w:suppressLineNumbers/>
              <w:spacing w:before="0" w:after="200"/>
              <w:rPr/>
            </w:pPr>
            <w:r>
              <w:rPr/>
              <w:t>19</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25</w:t>
            </w:r>
          </w:p>
        </w:tc>
        <w:tc>
          <w:tcPr>
            <w:tcW w:w="855" w:type="dxa"/>
            <w:tcBorders/>
            <w:vAlign w:val="center"/>
          </w:tcPr>
          <w:p>
            <w:pPr>
              <w:pStyle w:val="TableContents"/>
              <w:widowControl w:val="false"/>
              <w:suppressLineNumbers/>
              <w:spacing w:before="0" w:after="200"/>
              <w:rPr/>
            </w:pPr>
            <w:r>
              <w:rPr/>
              <w:t>D</w:t>
            </w:r>
          </w:p>
        </w:tc>
      </w:tr>
      <w:tr>
        <w:trPr/>
        <w:tc>
          <w:tcPr>
            <w:tcW w:w="496" w:type="dxa"/>
            <w:tcBorders/>
            <w:vAlign w:val="center"/>
          </w:tcPr>
          <w:p>
            <w:pPr>
              <w:pStyle w:val="TableContents"/>
              <w:widowControl w:val="false"/>
              <w:suppressLineNumbers/>
              <w:spacing w:before="0" w:after="200"/>
              <w:rPr/>
            </w:pPr>
            <w:r>
              <w:rPr/>
              <w:t>2</w:t>
            </w:r>
          </w:p>
        </w:tc>
        <w:tc>
          <w:tcPr>
            <w:tcW w:w="810" w:type="dxa"/>
            <w:tcBorders/>
            <w:vAlign w:val="center"/>
          </w:tcPr>
          <w:p>
            <w:pPr>
              <w:pStyle w:val="TableContents"/>
              <w:widowControl w:val="false"/>
              <w:suppressLineNumbers/>
              <w:spacing w:before="0" w:after="200"/>
              <w:rPr/>
            </w:pPr>
            <w:r>
              <w:rPr/>
              <w:t>A</w:t>
            </w:r>
          </w:p>
        </w:tc>
        <w:tc>
          <w:tcPr>
            <w:tcW w:w="481" w:type="dxa"/>
            <w:tcBorders/>
            <w:vAlign w:val="center"/>
          </w:tcPr>
          <w:p>
            <w:pPr>
              <w:pStyle w:val="TableContents"/>
              <w:widowControl w:val="false"/>
              <w:suppressLineNumbers/>
              <w:spacing w:before="0" w:after="200"/>
              <w:rPr/>
            </w:pPr>
            <w:r>
              <w:rPr/>
              <w:t>8</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14</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20</w:t>
            </w:r>
          </w:p>
        </w:tc>
        <w:tc>
          <w:tcPr>
            <w:tcW w:w="810" w:type="dxa"/>
            <w:tcBorders/>
            <w:vAlign w:val="center"/>
          </w:tcPr>
          <w:p>
            <w:pPr>
              <w:pStyle w:val="TableContents"/>
              <w:widowControl w:val="false"/>
              <w:suppressLineNumbers/>
              <w:spacing w:before="0" w:after="200"/>
              <w:rPr/>
            </w:pPr>
            <w:r>
              <w:rPr/>
              <w:t>D</w:t>
            </w:r>
          </w:p>
        </w:tc>
        <w:tc>
          <w:tcPr>
            <w:tcW w:w="481" w:type="dxa"/>
            <w:tcBorders/>
            <w:vAlign w:val="center"/>
          </w:tcPr>
          <w:p>
            <w:pPr>
              <w:pStyle w:val="TableContents"/>
              <w:widowControl w:val="false"/>
              <w:suppressLineNumbers/>
              <w:spacing w:before="0" w:after="200"/>
              <w:rPr/>
            </w:pPr>
            <w:r>
              <w:rPr/>
              <w:t>26</w:t>
            </w:r>
          </w:p>
        </w:tc>
        <w:tc>
          <w:tcPr>
            <w:tcW w:w="855" w:type="dxa"/>
            <w:tcBorders/>
            <w:vAlign w:val="center"/>
          </w:tcPr>
          <w:p>
            <w:pPr>
              <w:pStyle w:val="TableContents"/>
              <w:widowControl w:val="false"/>
              <w:suppressLineNumbers/>
              <w:spacing w:before="0" w:after="200"/>
              <w:rPr/>
            </w:pPr>
            <w:r>
              <w:rPr/>
              <w:t>B</w:t>
            </w:r>
          </w:p>
        </w:tc>
      </w:tr>
      <w:tr>
        <w:trPr/>
        <w:tc>
          <w:tcPr>
            <w:tcW w:w="496" w:type="dxa"/>
            <w:tcBorders/>
            <w:vAlign w:val="center"/>
          </w:tcPr>
          <w:p>
            <w:pPr>
              <w:pStyle w:val="TableContents"/>
              <w:widowControl w:val="false"/>
              <w:suppressLineNumbers/>
              <w:spacing w:before="0" w:after="200"/>
              <w:rPr/>
            </w:pPr>
            <w:r>
              <w:rPr/>
              <w:t>3</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9</w:t>
            </w:r>
          </w:p>
        </w:tc>
        <w:tc>
          <w:tcPr>
            <w:tcW w:w="810" w:type="dxa"/>
            <w:tcBorders/>
            <w:vAlign w:val="center"/>
          </w:tcPr>
          <w:p>
            <w:pPr>
              <w:pStyle w:val="TableContents"/>
              <w:widowControl w:val="false"/>
              <w:suppressLineNumbers/>
              <w:spacing w:before="0" w:after="200"/>
              <w:rPr/>
            </w:pPr>
            <w:r>
              <w:rPr/>
              <w:t>D</w:t>
            </w:r>
          </w:p>
        </w:tc>
        <w:tc>
          <w:tcPr>
            <w:tcW w:w="481" w:type="dxa"/>
            <w:tcBorders/>
            <w:vAlign w:val="center"/>
          </w:tcPr>
          <w:p>
            <w:pPr>
              <w:pStyle w:val="TableContents"/>
              <w:widowControl w:val="false"/>
              <w:suppressLineNumbers/>
              <w:spacing w:before="0" w:after="200"/>
              <w:rPr/>
            </w:pPr>
            <w:r>
              <w:rPr/>
              <w:t>15</w:t>
            </w:r>
          </w:p>
        </w:tc>
        <w:tc>
          <w:tcPr>
            <w:tcW w:w="810" w:type="dxa"/>
            <w:tcBorders/>
            <w:vAlign w:val="center"/>
          </w:tcPr>
          <w:p>
            <w:pPr>
              <w:pStyle w:val="TableContents"/>
              <w:widowControl w:val="false"/>
              <w:suppressLineNumbers/>
              <w:spacing w:before="0" w:after="200"/>
              <w:rPr/>
            </w:pPr>
            <w:r>
              <w:rPr/>
              <w:t>D</w:t>
            </w:r>
          </w:p>
        </w:tc>
        <w:tc>
          <w:tcPr>
            <w:tcW w:w="481" w:type="dxa"/>
            <w:tcBorders/>
            <w:vAlign w:val="center"/>
          </w:tcPr>
          <w:p>
            <w:pPr>
              <w:pStyle w:val="TableContents"/>
              <w:widowControl w:val="false"/>
              <w:suppressLineNumbers/>
              <w:spacing w:before="0" w:after="200"/>
              <w:rPr/>
            </w:pPr>
            <w:r>
              <w:rPr/>
              <w:t>21</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27</w:t>
            </w:r>
          </w:p>
        </w:tc>
        <w:tc>
          <w:tcPr>
            <w:tcW w:w="855" w:type="dxa"/>
            <w:tcBorders/>
            <w:vAlign w:val="center"/>
          </w:tcPr>
          <w:p>
            <w:pPr>
              <w:pStyle w:val="TableContents"/>
              <w:widowControl w:val="false"/>
              <w:suppressLineNumbers/>
              <w:spacing w:before="0" w:after="200"/>
              <w:rPr/>
            </w:pPr>
            <w:r>
              <w:rPr/>
              <w:t>B</w:t>
            </w:r>
          </w:p>
        </w:tc>
      </w:tr>
      <w:tr>
        <w:trPr/>
        <w:tc>
          <w:tcPr>
            <w:tcW w:w="496" w:type="dxa"/>
            <w:tcBorders/>
            <w:vAlign w:val="center"/>
          </w:tcPr>
          <w:p>
            <w:pPr>
              <w:pStyle w:val="TableContents"/>
              <w:widowControl w:val="false"/>
              <w:suppressLineNumbers/>
              <w:spacing w:before="0" w:after="200"/>
              <w:rPr/>
            </w:pPr>
            <w:r>
              <w:rPr/>
              <w:t>4</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10</w:t>
            </w:r>
          </w:p>
        </w:tc>
        <w:tc>
          <w:tcPr>
            <w:tcW w:w="810" w:type="dxa"/>
            <w:tcBorders/>
            <w:vAlign w:val="center"/>
          </w:tcPr>
          <w:p>
            <w:pPr>
              <w:pStyle w:val="TableContents"/>
              <w:widowControl w:val="false"/>
              <w:suppressLineNumbers/>
              <w:spacing w:before="0" w:after="200"/>
              <w:rPr/>
            </w:pPr>
            <w:r>
              <w:rPr/>
              <w:t>A</w:t>
            </w:r>
          </w:p>
        </w:tc>
        <w:tc>
          <w:tcPr>
            <w:tcW w:w="481" w:type="dxa"/>
            <w:tcBorders/>
            <w:vAlign w:val="center"/>
          </w:tcPr>
          <w:p>
            <w:pPr>
              <w:pStyle w:val="TableContents"/>
              <w:widowControl w:val="false"/>
              <w:suppressLineNumbers/>
              <w:spacing w:before="0" w:after="200"/>
              <w:rPr/>
            </w:pPr>
            <w:r>
              <w:rPr/>
              <w:t>16</w:t>
            </w:r>
          </w:p>
        </w:tc>
        <w:tc>
          <w:tcPr>
            <w:tcW w:w="810" w:type="dxa"/>
            <w:tcBorders/>
            <w:vAlign w:val="center"/>
          </w:tcPr>
          <w:p>
            <w:pPr>
              <w:pStyle w:val="TableContents"/>
              <w:widowControl w:val="false"/>
              <w:suppressLineNumbers/>
              <w:spacing w:before="0" w:after="200"/>
              <w:rPr/>
            </w:pPr>
            <w:r>
              <w:rPr/>
              <w:t>C</w:t>
            </w:r>
          </w:p>
        </w:tc>
        <w:tc>
          <w:tcPr>
            <w:tcW w:w="481" w:type="dxa"/>
            <w:tcBorders/>
            <w:vAlign w:val="center"/>
          </w:tcPr>
          <w:p>
            <w:pPr>
              <w:pStyle w:val="TableContents"/>
              <w:widowControl w:val="false"/>
              <w:suppressLineNumbers/>
              <w:spacing w:before="0" w:after="200"/>
              <w:rPr/>
            </w:pPr>
            <w:r>
              <w:rPr/>
              <w:t>22</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28</w:t>
            </w:r>
          </w:p>
        </w:tc>
        <w:tc>
          <w:tcPr>
            <w:tcW w:w="855" w:type="dxa"/>
            <w:tcBorders/>
            <w:vAlign w:val="center"/>
          </w:tcPr>
          <w:p>
            <w:pPr>
              <w:pStyle w:val="TableContents"/>
              <w:widowControl w:val="false"/>
              <w:suppressLineNumbers/>
              <w:spacing w:before="0" w:after="200"/>
              <w:rPr/>
            </w:pPr>
            <w:r>
              <w:rPr/>
              <w:t>D</w:t>
            </w:r>
          </w:p>
        </w:tc>
      </w:tr>
      <w:tr>
        <w:trPr/>
        <w:tc>
          <w:tcPr>
            <w:tcW w:w="496" w:type="dxa"/>
            <w:tcBorders/>
            <w:vAlign w:val="center"/>
          </w:tcPr>
          <w:p>
            <w:pPr>
              <w:pStyle w:val="TableContents"/>
              <w:widowControl w:val="false"/>
              <w:suppressLineNumbers/>
              <w:spacing w:before="0" w:after="200"/>
              <w:rPr/>
            </w:pPr>
            <w:r>
              <w:rPr/>
              <w:t>5</w:t>
            </w:r>
          </w:p>
        </w:tc>
        <w:tc>
          <w:tcPr>
            <w:tcW w:w="810" w:type="dxa"/>
            <w:tcBorders/>
            <w:vAlign w:val="center"/>
          </w:tcPr>
          <w:p>
            <w:pPr>
              <w:pStyle w:val="TableContents"/>
              <w:widowControl w:val="false"/>
              <w:suppressLineNumbers/>
              <w:spacing w:before="0" w:after="200"/>
              <w:rPr/>
            </w:pPr>
            <w:r>
              <w:rPr/>
              <w:t>C</w:t>
            </w:r>
          </w:p>
        </w:tc>
        <w:tc>
          <w:tcPr>
            <w:tcW w:w="481" w:type="dxa"/>
            <w:tcBorders/>
            <w:vAlign w:val="center"/>
          </w:tcPr>
          <w:p>
            <w:pPr>
              <w:pStyle w:val="TableContents"/>
              <w:widowControl w:val="false"/>
              <w:suppressLineNumbers/>
              <w:spacing w:before="0" w:after="200"/>
              <w:rPr/>
            </w:pPr>
            <w:r>
              <w:rPr/>
              <w:t>11</w:t>
            </w:r>
          </w:p>
        </w:tc>
        <w:tc>
          <w:tcPr>
            <w:tcW w:w="810" w:type="dxa"/>
            <w:tcBorders/>
            <w:vAlign w:val="center"/>
          </w:tcPr>
          <w:p>
            <w:pPr>
              <w:pStyle w:val="TableContents"/>
              <w:widowControl w:val="false"/>
              <w:suppressLineNumbers/>
              <w:spacing w:before="0" w:after="200"/>
              <w:rPr/>
            </w:pPr>
            <w:r>
              <w:rPr/>
              <w:t>C</w:t>
            </w:r>
          </w:p>
        </w:tc>
        <w:tc>
          <w:tcPr>
            <w:tcW w:w="481" w:type="dxa"/>
            <w:tcBorders/>
            <w:vAlign w:val="center"/>
          </w:tcPr>
          <w:p>
            <w:pPr>
              <w:pStyle w:val="TableContents"/>
              <w:widowControl w:val="false"/>
              <w:suppressLineNumbers/>
              <w:spacing w:before="0" w:after="200"/>
              <w:rPr/>
            </w:pPr>
            <w:r>
              <w:rPr/>
              <w:t>17</w:t>
            </w:r>
          </w:p>
        </w:tc>
        <w:tc>
          <w:tcPr>
            <w:tcW w:w="810" w:type="dxa"/>
            <w:tcBorders/>
            <w:vAlign w:val="center"/>
          </w:tcPr>
          <w:p>
            <w:pPr>
              <w:pStyle w:val="TableContents"/>
              <w:widowControl w:val="false"/>
              <w:suppressLineNumbers/>
              <w:spacing w:before="0" w:after="200"/>
              <w:rPr/>
            </w:pPr>
            <w:r>
              <w:rPr/>
              <w:t>D</w:t>
            </w:r>
          </w:p>
        </w:tc>
        <w:tc>
          <w:tcPr>
            <w:tcW w:w="481" w:type="dxa"/>
            <w:tcBorders/>
            <w:vAlign w:val="center"/>
          </w:tcPr>
          <w:p>
            <w:pPr>
              <w:pStyle w:val="TableContents"/>
              <w:widowControl w:val="false"/>
              <w:suppressLineNumbers/>
              <w:spacing w:before="0" w:after="200"/>
              <w:rPr/>
            </w:pPr>
            <w:r>
              <w:rPr/>
              <w:t>23</w:t>
            </w:r>
          </w:p>
        </w:tc>
        <w:tc>
          <w:tcPr>
            <w:tcW w:w="810" w:type="dxa"/>
            <w:tcBorders/>
            <w:vAlign w:val="center"/>
          </w:tcPr>
          <w:p>
            <w:pPr>
              <w:pStyle w:val="TableContents"/>
              <w:widowControl w:val="false"/>
              <w:suppressLineNumbers/>
              <w:spacing w:before="0" w:after="200"/>
              <w:rPr/>
            </w:pPr>
            <w:r>
              <w:rPr/>
              <w:t>C</w:t>
            </w:r>
          </w:p>
        </w:tc>
        <w:tc>
          <w:tcPr>
            <w:tcW w:w="481" w:type="dxa"/>
            <w:tcBorders/>
            <w:vAlign w:val="center"/>
          </w:tcPr>
          <w:p>
            <w:pPr>
              <w:pStyle w:val="TableContents"/>
              <w:widowControl w:val="false"/>
              <w:suppressLineNumbers/>
              <w:spacing w:before="0" w:after="200"/>
              <w:rPr/>
            </w:pPr>
            <w:r>
              <w:rPr/>
              <w:t>29</w:t>
            </w:r>
          </w:p>
        </w:tc>
        <w:tc>
          <w:tcPr>
            <w:tcW w:w="855" w:type="dxa"/>
            <w:tcBorders/>
            <w:vAlign w:val="center"/>
          </w:tcPr>
          <w:p>
            <w:pPr>
              <w:pStyle w:val="TableContents"/>
              <w:widowControl w:val="false"/>
              <w:suppressLineNumbers/>
              <w:spacing w:before="0" w:after="200"/>
              <w:rPr/>
            </w:pPr>
            <w:r>
              <w:rPr/>
              <w:t>B</w:t>
            </w:r>
          </w:p>
        </w:tc>
      </w:tr>
      <w:tr>
        <w:trPr/>
        <w:tc>
          <w:tcPr>
            <w:tcW w:w="496" w:type="dxa"/>
            <w:tcBorders/>
            <w:vAlign w:val="center"/>
          </w:tcPr>
          <w:p>
            <w:pPr>
              <w:pStyle w:val="TableContents"/>
              <w:widowControl w:val="false"/>
              <w:suppressLineNumbers/>
              <w:spacing w:before="0" w:after="200"/>
              <w:rPr/>
            </w:pPr>
            <w:r>
              <w:rPr/>
              <w:t>6</w:t>
            </w:r>
          </w:p>
        </w:tc>
        <w:tc>
          <w:tcPr>
            <w:tcW w:w="810" w:type="dxa"/>
            <w:tcBorders/>
            <w:vAlign w:val="center"/>
          </w:tcPr>
          <w:p>
            <w:pPr>
              <w:pStyle w:val="TableContents"/>
              <w:widowControl w:val="false"/>
              <w:suppressLineNumbers/>
              <w:spacing w:before="0" w:after="200"/>
              <w:rPr/>
            </w:pPr>
            <w:r>
              <w:rPr/>
              <w:t>C</w:t>
            </w:r>
          </w:p>
        </w:tc>
        <w:tc>
          <w:tcPr>
            <w:tcW w:w="481" w:type="dxa"/>
            <w:tcBorders/>
            <w:vAlign w:val="center"/>
          </w:tcPr>
          <w:p>
            <w:pPr>
              <w:pStyle w:val="TableContents"/>
              <w:widowControl w:val="false"/>
              <w:suppressLineNumbers/>
              <w:spacing w:before="0" w:after="200"/>
              <w:rPr/>
            </w:pPr>
            <w:r>
              <w:rPr/>
              <w:t>12</w:t>
            </w:r>
          </w:p>
        </w:tc>
        <w:tc>
          <w:tcPr>
            <w:tcW w:w="810" w:type="dxa"/>
            <w:tcBorders/>
            <w:vAlign w:val="center"/>
          </w:tcPr>
          <w:p>
            <w:pPr>
              <w:pStyle w:val="TableContents"/>
              <w:widowControl w:val="false"/>
              <w:suppressLineNumbers/>
              <w:spacing w:before="0" w:after="200"/>
              <w:rPr/>
            </w:pPr>
            <w:r>
              <w:rPr/>
              <w:t>C</w:t>
            </w:r>
          </w:p>
        </w:tc>
        <w:tc>
          <w:tcPr>
            <w:tcW w:w="481" w:type="dxa"/>
            <w:tcBorders/>
            <w:vAlign w:val="center"/>
          </w:tcPr>
          <w:p>
            <w:pPr>
              <w:pStyle w:val="TableContents"/>
              <w:widowControl w:val="false"/>
              <w:suppressLineNumbers/>
              <w:spacing w:before="0" w:after="200"/>
              <w:rPr/>
            </w:pPr>
            <w:r>
              <w:rPr/>
              <w:t>18</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24</w:t>
            </w:r>
          </w:p>
        </w:tc>
        <w:tc>
          <w:tcPr>
            <w:tcW w:w="810" w:type="dxa"/>
            <w:tcBorders/>
            <w:vAlign w:val="center"/>
          </w:tcPr>
          <w:p>
            <w:pPr>
              <w:pStyle w:val="TableContents"/>
              <w:widowControl w:val="false"/>
              <w:suppressLineNumbers/>
              <w:spacing w:before="0" w:after="200"/>
              <w:rPr/>
            </w:pPr>
            <w:r>
              <w:rPr/>
              <w:t>B</w:t>
            </w:r>
          </w:p>
        </w:tc>
        <w:tc>
          <w:tcPr>
            <w:tcW w:w="481" w:type="dxa"/>
            <w:tcBorders/>
            <w:vAlign w:val="center"/>
          </w:tcPr>
          <w:p>
            <w:pPr>
              <w:pStyle w:val="TableContents"/>
              <w:widowControl w:val="false"/>
              <w:suppressLineNumbers/>
              <w:spacing w:before="0" w:after="200"/>
              <w:rPr/>
            </w:pPr>
            <w:r>
              <w:rPr/>
              <w:t>30</w:t>
            </w:r>
          </w:p>
        </w:tc>
        <w:tc>
          <w:tcPr>
            <w:tcW w:w="855" w:type="dxa"/>
            <w:tcBorders/>
            <w:vAlign w:val="center"/>
          </w:tcPr>
          <w:p>
            <w:pPr>
              <w:pStyle w:val="TableContents"/>
              <w:widowControl w:val="false"/>
              <w:suppressLineNumbers/>
              <w:spacing w:before="0" w:after="200"/>
              <w:rPr/>
            </w:pPr>
            <w:r>
              <w:rPr/>
              <w:t>B</w:t>
            </w:r>
          </w:p>
        </w:tc>
      </w:tr>
    </w:tbl>
    <w:p>
      <w:pPr>
        <w:pStyle w:val="BodyText"/>
        <w:rPr>
          <w:rStyle w:val="Strong"/>
        </w:rPr>
      </w:pPr>
      <w:r>
        <w:rPr/>
      </w:r>
    </w:p>
    <w:p>
      <w:pPr>
        <w:pStyle w:val="BodyText"/>
        <w:rPr/>
      </w:pPr>
      <w:r>
        <w:rPr>
          <w:rStyle w:val="Strong"/>
        </w:rPr>
        <w:t>Gợi ý lời giải PHẦN 2 – BÀI TẬP (7 điểm)</w:t>
      </w:r>
    </w:p>
    <w:p>
      <w:pPr>
        <w:pStyle w:val="BodyText"/>
        <w:rPr/>
      </w:pPr>
      <w:r>
        <w:rPr>
          <w:rStyle w:val="Strong"/>
        </w:rPr>
        <w:t>Gợi ý lời giải bài tập 1: Thuế GTGT</w:t>
      </w:r>
    </w:p>
    <w:p>
      <w:pPr>
        <w:pStyle w:val="BodyText"/>
        <w:rPr/>
      </w:pPr>
      <w:r>
        <w:rPr>
          <w:rStyle w:val="Strong"/>
        </w:rPr>
        <w:t>Bài 1 (3,5 điểm).</w:t>
      </w:r>
      <w:r>
        <w:rPr/>
        <w:t xml:space="preserve"> – Doanh nghiệp nộp thuế theo phương pháp khấu trừ, nộp tờ khai thuế GTGT theo tháng/quý – Các nghiệp vụ mua vào của doanh nghiệp có HĐ, chứng từ đầy đủ và hợp pháp, đủ điều kiện khấu trừ – Có chứng từ thanh toán không dùng tiền mặt đối với HĐ trừ 20tr trở lên – Hoạt động xuất khẩu, nhập khẩu có đầy đủ hồ sơ, chứng từ theo quy định về thủ tục xuất khẩu, nhập khẩu hàng hóa. Công ty thực hiện đầy đủ nghĩa vụ thuế ngay trong kỳ tính thuế phát sinh hoạt động xuất khẩu, nhập khẩu.</w:t>
      </w:r>
    </w:p>
    <w:p>
      <w:pPr>
        <w:pStyle w:val="BodyText"/>
        <w:rPr/>
      </w:pPr>
      <w:r>
        <w:rPr>
          <w:rStyle w:val="Strong"/>
        </w:rPr>
        <w:t>1. Xác định thuế GTGT đầu ra phát sinh trong kỳ</w:t>
      </w:r>
      <w:r>
        <w:rPr/>
        <w:t xml:space="preserve"> (ĐVT: Triệu đồng)</w:t>
      </w:r>
    </w:p>
    <w:tbl>
      <w:tblPr>
        <w:tblW w:w="8640" w:type="dxa"/>
        <w:jc w:val="left"/>
        <w:tblInd w:w="28" w:type="dxa"/>
        <w:tblLayout w:type="fixed"/>
        <w:tblCellMar>
          <w:top w:w="28" w:type="dxa"/>
          <w:left w:w="28" w:type="dxa"/>
          <w:bottom w:w="28" w:type="dxa"/>
          <w:right w:w="28" w:type="dxa"/>
        </w:tblCellMar>
      </w:tblPr>
      <w:tblGrid>
        <w:gridCol w:w="634"/>
        <w:gridCol w:w="3366"/>
        <w:gridCol w:w="902"/>
        <w:gridCol w:w="760"/>
        <w:gridCol w:w="678"/>
        <w:gridCol w:w="556"/>
        <w:gridCol w:w="341"/>
        <w:gridCol w:w="678"/>
        <w:gridCol w:w="725"/>
      </w:tblGrid>
      <w:tr>
        <w:trPr/>
        <w:tc>
          <w:tcPr>
            <w:tcW w:w="634" w:type="dxa"/>
            <w:tcBorders/>
            <w:vAlign w:val="center"/>
          </w:tcPr>
          <w:p>
            <w:pPr>
              <w:pStyle w:val="TableHeading"/>
              <w:suppressLineNumbers/>
              <w:spacing w:before="0" w:after="200"/>
              <w:jc w:val="center"/>
              <w:rPr/>
            </w:pPr>
            <w:r>
              <w:rPr>
                <w:rStyle w:val="Strong"/>
                <w:b/>
                <w:bCs/>
              </w:rPr>
              <w:t>NV</w:t>
            </w:r>
          </w:p>
        </w:tc>
        <w:tc>
          <w:tcPr>
            <w:tcW w:w="3366" w:type="dxa"/>
            <w:tcBorders/>
            <w:vAlign w:val="center"/>
          </w:tcPr>
          <w:p>
            <w:pPr>
              <w:pStyle w:val="TableHeading"/>
              <w:suppressLineNumbers/>
              <w:spacing w:before="0" w:after="200"/>
              <w:jc w:val="center"/>
              <w:rPr/>
            </w:pPr>
            <w:r>
              <w:rPr>
                <w:rStyle w:val="Strong"/>
                <w:b/>
                <w:bCs/>
              </w:rPr>
              <w:t>Diễn giải</w:t>
            </w:r>
          </w:p>
        </w:tc>
        <w:tc>
          <w:tcPr>
            <w:tcW w:w="902" w:type="dxa"/>
            <w:tcBorders/>
            <w:vAlign w:val="center"/>
          </w:tcPr>
          <w:p>
            <w:pPr>
              <w:pStyle w:val="TableHeading"/>
              <w:suppressLineNumbers/>
              <w:spacing w:before="0" w:after="200"/>
              <w:jc w:val="center"/>
              <w:rPr/>
            </w:pPr>
            <w:r>
              <w:rPr>
                <w:rStyle w:val="Strong"/>
                <w:b/>
                <w:bCs/>
              </w:rPr>
              <w:t>Giá tính thuế</w:t>
            </w:r>
          </w:p>
        </w:tc>
        <w:tc>
          <w:tcPr>
            <w:tcW w:w="760" w:type="dxa"/>
            <w:tcBorders/>
            <w:vAlign w:val="center"/>
          </w:tcPr>
          <w:p>
            <w:pPr>
              <w:pStyle w:val="TableHeading"/>
              <w:suppressLineNumbers/>
              <w:spacing w:before="0" w:after="200"/>
              <w:jc w:val="center"/>
              <w:rPr/>
            </w:pPr>
            <w:r>
              <w:rPr>
                <w:rStyle w:val="Strong"/>
                <w:b/>
                <w:bCs/>
              </w:rPr>
              <w:t>Thuế GTGT</w:t>
            </w:r>
          </w:p>
        </w:tc>
        <w:tc>
          <w:tcPr>
            <w:tcW w:w="678" w:type="dxa"/>
            <w:tcBorders/>
            <w:vAlign w:val="center"/>
          </w:tcPr>
          <w:p>
            <w:pPr>
              <w:pStyle w:val="TableHeading"/>
              <w:suppressLineNumbers/>
              <w:spacing w:before="0" w:after="200"/>
              <w:jc w:val="center"/>
              <w:rPr/>
            </w:pPr>
            <w:r>
              <w:rPr>
                <w:rStyle w:val="Strong"/>
                <w:b/>
                <w:bCs/>
              </w:rPr>
              <w:t>KCT</w:t>
            </w:r>
          </w:p>
        </w:tc>
        <w:tc>
          <w:tcPr>
            <w:tcW w:w="556" w:type="dxa"/>
            <w:tcBorders/>
            <w:vAlign w:val="center"/>
          </w:tcPr>
          <w:p>
            <w:pPr>
              <w:pStyle w:val="TableHeading"/>
              <w:suppressLineNumbers/>
              <w:spacing w:before="0" w:after="200"/>
              <w:jc w:val="center"/>
              <w:rPr/>
            </w:pPr>
            <w:r>
              <w:rPr>
                <w:rStyle w:val="Strong"/>
                <w:b/>
                <w:bCs/>
              </w:rPr>
              <w:t>KKK</w:t>
            </w:r>
          </w:p>
        </w:tc>
        <w:tc>
          <w:tcPr>
            <w:tcW w:w="341" w:type="dxa"/>
            <w:tcBorders/>
            <w:vAlign w:val="center"/>
          </w:tcPr>
          <w:p>
            <w:pPr>
              <w:pStyle w:val="TableHeading"/>
              <w:suppressLineNumbers/>
              <w:spacing w:before="0" w:after="200"/>
              <w:jc w:val="center"/>
              <w:rPr/>
            </w:pPr>
            <w:r>
              <w:rPr>
                <w:rStyle w:val="Strong"/>
                <w:b/>
                <w:bCs/>
              </w:rPr>
              <w:t>0%</w:t>
            </w:r>
          </w:p>
        </w:tc>
        <w:tc>
          <w:tcPr>
            <w:tcW w:w="678" w:type="dxa"/>
            <w:tcBorders/>
            <w:vAlign w:val="center"/>
          </w:tcPr>
          <w:p>
            <w:pPr>
              <w:pStyle w:val="TableHeading"/>
              <w:suppressLineNumbers/>
              <w:spacing w:before="0" w:after="200"/>
              <w:jc w:val="center"/>
              <w:rPr/>
            </w:pPr>
            <w:r>
              <w:rPr>
                <w:rStyle w:val="Strong"/>
                <w:b/>
                <w:bCs/>
              </w:rPr>
              <w:t>5%</w:t>
            </w:r>
          </w:p>
        </w:tc>
        <w:tc>
          <w:tcPr>
            <w:tcW w:w="725" w:type="dxa"/>
            <w:tcBorders/>
            <w:vAlign w:val="center"/>
          </w:tcPr>
          <w:p>
            <w:pPr>
              <w:pStyle w:val="TableHeading"/>
              <w:suppressLineNumbers/>
              <w:spacing w:before="0" w:after="200"/>
              <w:jc w:val="center"/>
              <w:rPr/>
            </w:pPr>
            <w:r>
              <w:rPr>
                <w:rStyle w:val="Strong"/>
                <w:b/>
                <w:bCs/>
              </w:rPr>
              <w:t>10%</w:t>
            </w:r>
          </w:p>
        </w:tc>
      </w:tr>
      <w:tr>
        <w:trPr/>
        <w:tc>
          <w:tcPr>
            <w:tcW w:w="634" w:type="dxa"/>
            <w:tcBorders/>
            <w:vAlign w:val="center"/>
          </w:tcPr>
          <w:p>
            <w:pPr>
              <w:pStyle w:val="TableContents"/>
              <w:widowControl w:val="false"/>
              <w:suppressLineNumbers/>
              <w:spacing w:before="0" w:after="200"/>
              <w:rPr/>
            </w:pPr>
            <w:r>
              <w:rPr/>
              <w:t>NV 3</w:t>
            </w:r>
          </w:p>
        </w:tc>
        <w:tc>
          <w:tcPr>
            <w:tcW w:w="3366" w:type="dxa"/>
            <w:tcBorders/>
            <w:vAlign w:val="center"/>
          </w:tcPr>
          <w:p>
            <w:pPr>
              <w:pStyle w:val="TableContents"/>
              <w:widowControl w:val="false"/>
              <w:suppressLineNumbers/>
              <w:spacing w:before="0" w:after="200"/>
              <w:rPr/>
            </w:pPr>
            <w:r>
              <w:rPr/>
              <w:t>Cung cấp sản phẩm phần mềm cho tổ chức ở nước ngoài X, phần mềm được bàn giao qua đường Internet, thuế suất 0% GTT = 8.200 Thuế GTGT = 8.200*0%=0</w:t>
            </w:r>
          </w:p>
        </w:tc>
        <w:tc>
          <w:tcPr>
            <w:tcW w:w="902" w:type="dxa"/>
            <w:tcBorders/>
            <w:vAlign w:val="center"/>
          </w:tcPr>
          <w:p>
            <w:pPr>
              <w:pStyle w:val="TableContents"/>
              <w:widowControl w:val="false"/>
              <w:suppressLineNumbers/>
              <w:spacing w:before="0" w:after="200"/>
              <w:rPr/>
            </w:pPr>
            <w:r>
              <w:rPr/>
              <w:t>8.200</w:t>
            </w:r>
          </w:p>
        </w:tc>
        <w:tc>
          <w:tcPr>
            <w:tcW w:w="760" w:type="dxa"/>
            <w:tcBorders/>
            <w:vAlign w:val="center"/>
          </w:tcPr>
          <w:p>
            <w:pPr>
              <w:pStyle w:val="TableContents"/>
              <w:widowControl w:val="false"/>
              <w:suppressLineNumbers/>
              <w:spacing w:before="0" w:after="200"/>
              <w:rPr/>
            </w:pPr>
            <w:r>
              <w:rPr/>
              <w:t>0</w:t>
            </w:r>
          </w:p>
        </w:tc>
        <w:tc>
          <w:tcPr>
            <w:tcW w:w="678" w:type="dxa"/>
            <w:tcBorders/>
            <w:vAlign w:val="center"/>
          </w:tcPr>
          <w:p>
            <w:pPr>
              <w:pStyle w:val="TableContents"/>
              <w:widowControl w:val="false"/>
              <w:suppressLineNumbers/>
              <w:spacing w:before="0" w:after="200"/>
              <w:rPr/>
            </w:pPr>
            <w:r>
              <w:rPr/>
              <w:t>8.200</w:t>
            </w:r>
          </w:p>
        </w:tc>
        <w:tc>
          <w:tcPr>
            <w:tcW w:w="556" w:type="dxa"/>
            <w:tcBorders/>
            <w:vAlign w:val="center"/>
          </w:tcPr>
          <w:p>
            <w:pPr>
              <w:pStyle w:val="TableContents"/>
              <w:spacing w:before="0" w:after="200"/>
              <w:rPr>
                <w:sz w:val="4"/>
                <w:szCs w:val="4"/>
              </w:rPr>
            </w:pPr>
            <w:r>
              <w:rPr>
                <w:sz w:val="4"/>
                <w:szCs w:val="4"/>
              </w:rPr>
            </w:r>
          </w:p>
        </w:tc>
        <w:tc>
          <w:tcPr>
            <w:tcW w:w="341" w:type="dxa"/>
            <w:tcBorders/>
            <w:vAlign w:val="center"/>
          </w:tcPr>
          <w:p>
            <w:pPr>
              <w:pStyle w:val="TableContents"/>
              <w:spacing w:before="0" w:after="200"/>
              <w:rPr>
                <w:sz w:val="4"/>
                <w:szCs w:val="4"/>
              </w:rPr>
            </w:pPr>
            <w:r>
              <w:rPr>
                <w:sz w:val="4"/>
                <w:szCs w:val="4"/>
              </w:rPr>
            </w:r>
          </w:p>
        </w:tc>
        <w:tc>
          <w:tcPr>
            <w:tcW w:w="678" w:type="dxa"/>
            <w:tcBorders/>
            <w:vAlign w:val="center"/>
          </w:tcPr>
          <w:p>
            <w:pPr>
              <w:pStyle w:val="TableContents"/>
              <w:spacing w:before="0" w:after="200"/>
              <w:rPr>
                <w:sz w:val="4"/>
                <w:szCs w:val="4"/>
              </w:rPr>
            </w:pPr>
            <w:r>
              <w:rPr>
                <w:sz w:val="4"/>
                <w:szCs w:val="4"/>
              </w:rPr>
            </w:r>
          </w:p>
        </w:tc>
        <w:tc>
          <w:tcPr>
            <w:tcW w:w="725" w:type="dxa"/>
            <w:tcBorders/>
            <w:vAlign w:val="center"/>
          </w:tcPr>
          <w:p>
            <w:pPr>
              <w:pStyle w:val="TableContents"/>
              <w:spacing w:before="0" w:after="200"/>
              <w:rPr>
                <w:sz w:val="4"/>
                <w:szCs w:val="4"/>
              </w:rPr>
            </w:pPr>
            <w:r>
              <w:rPr>
                <w:sz w:val="4"/>
                <w:szCs w:val="4"/>
              </w:rPr>
            </w:r>
          </w:p>
        </w:tc>
      </w:tr>
      <w:tr>
        <w:trPr/>
        <w:tc>
          <w:tcPr>
            <w:tcW w:w="634" w:type="dxa"/>
            <w:tcBorders/>
            <w:vAlign w:val="center"/>
          </w:tcPr>
          <w:p>
            <w:pPr>
              <w:pStyle w:val="TableContents"/>
              <w:widowControl w:val="false"/>
              <w:suppressLineNumbers/>
              <w:spacing w:before="0" w:after="200"/>
              <w:rPr/>
            </w:pPr>
            <w:r>
              <w:rPr/>
              <w:t>NV 4</w:t>
            </w:r>
          </w:p>
        </w:tc>
        <w:tc>
          <w:tcPr>
            <w:tcW w:w="3366" w:type="dxa"/>
            <w:tcBorders/>
            <w:vAlign w:val="center"/>
          </w:tcPr>
          <w:p>
            <w:pPr>
              <w:pStyle w:val="TableContents"/>
              <w:widowControl w:val="false"/>
              <w:suppressLineNumbers/>
              <w:spacing w:before="0" w:after="200"/>
              <w:rPr/>
            </w:pPr>
            <w:r>
              <w:rPr/>
              <w:t>Cung cấp dịch vụ quản trị, bảo trì phần mềm cho công ty Sao Việt, KCTGTT = 800</w:t>
            </w:r>
          </w:p>
        </w:tc>
        <w:tc>
          <w:tcPr>
            <w:tcW w:w="902" w:type="dxa"/>
            <w:tcBorders/>
            <w:vAlign w:val="center"/>
          </w:tcPr>
          <w:p>
            <w:pPr>
              <w:pStyle w:val="TableContents"/>
              <w:spacing w:before="0" w:after="200"/>
              <w:rPr>
                <w:sz w:val="4"/>
                <w:szCs w:val="4"/>
              </w:rPr>
            </w:pPr>
            <w:r>
              <w:rPr>
                <w:sz w:val="4"/>
                <w:szCs w:val="4"/>
              </w:rPr>
            </w:r>
          </w:p>
        </w:tc>
        <w:tc>
          <w:tcPr>
            <w:tcW w:w="760" w:type="dxa"/>
            <w:tcBorders/>
            <w:vAlign w:val="center"/>
          </w:tcPr>
          <w:p>
            <w:pPr>
              <w:pStyle w:val="TableContents"/>
              <w:spacing w:before="0" w:after="200"/>
              <w:rPr>
                <w:sz w:val="4"/>
                <w:szCs w:val="4"/>
              </w:rPr>
            </w:pPr>
            <w:r>
              <w:rPr>
                <w:sz w:val="4"/>
                <w:szCs w:val="4"/>
              </w:rPr>
            </w:r>
          </w:p>
        </w:tc>
        <w:tc>
          <w:tcPr>
            <w:tcW w:w="678" w:type="dxa"/>
            <w:tcBorders/>
            <w:vAlign w:val="center"/>
          </w:tcPr>
          <w:p>
            <w:pPr>
              <w:pStyle w:val="TableContents"/>
              <w:spacing w:before="0" w:after="200"/>
              <w:rPr>
                <w:sz w:val="4"/>
                <w:szCs w:val="4"/>
              </w:rPr>
            </w:pPr>
            <w:r>
              <w:rPr>
                <w:sz w:val="4"/>
                <w:szCs w:val="4"/>
              </w:rPr>
            </w:r>
          </w:p>
        </w:tc>
        <w:tc>
          <w:tcPr>
            <w:tcW w:w="556" w:type="dxa"/>
            <w:tcBorders/>
            <w:vAlign w:val="center"/>
          </w:tcPr>
          <w:p>
            <w:pPr>
              <w:pStyle w:val="TableContents"/>
              <w:widowControl w:val="false"/>
              <w:suppressLineNumbers/>
              <w:spacing w:before="0" w:after="200"/>
              <w:rPr/>
            </w:pPr>
            <w:r>
              <w:rPr/>
              <w:t>800</w:t>
            </w:r>
          </w:p>
        </w:tc>
        <w:tc>
          <w:tcPr>
            <w:tcW w:w="341" w:type="dxa"/>
            <w:tcBorders/>
            <w:vAlign w:val="center"/>
          </w:tcPr>
          <w:p>
            <w:pPr>
              <w:pStyle w:val="TableContents"/>
              <w:spacing w:before="0" w:after="200"/>
              <w:rPr>
                <w:sz w:val="4"/>
                <w:szCs w:val="4"/>
              </w:rPr>
            </w:pPr>
            <w:r>
              <w:rPr>
                <w:sz w:val="4"/>
                <w:szCs w:val="4"/>
              </w:rPr>
            </w:r>
          </w:p>
        </w:tc>
        <w:tc>
          <w:tcPr>
            <w:tcW w:w="678" w:type="dxa"/>
            <w:tcBorders/>
            <w:vAlign w:val="center"/>
          </w:tcPr>
          <w:p>
            <w:pPr>
              <w:pStyle w:val="TableContents"/>
              <w:spacing w:before="0" w:after="200"/>
              <w:rPr>
                <w:sz w:val="4"/>
                <w:szCs w:val="4"/>
              </w:rPr>
            </w:pPr>
            <w:r>
              <w:rPr>
                <w:sz w:val="4"/>
                <w:szCs w:val="4"/>
              </w:rPr>
            </w:r>
          </w:p>
        </w:tc>
        <w:tc>
          <w:tcPr>
            <w:tcW w:w="725" w:type="dxa"/>
            <w:tcBorders/>
            <w:vAlign w:val="center"/>
          </w:tcPr>
          <w:p>
            <w:pPr>
              <w:pStyle w:val="TableContents"/>
              <w:spacing w:before="0" w:after="200"/>
              <w:rPr>
                <w:sz w:val="4"/>
                <w:szCs w:val="4"/>
              </w:rPr>
            </w:pPr>
            <w:r>
              <w:rPr>
                <w:sz w:val="4"/>
                <w:szCs w:val="4"/>
              </w:rPr>
            </w:r>
          </w:p>
        </w:tc>
      </w:tr>
      <w:tr>
        <w:trPr/>
        <w:tc>
          <w:tcPr>
            <w:tcW w:w="634" w:type="dxa"/>
            <w:tcBorders/>
            <w:vAlign w:val="center"/>
          </w:tcPr>
          <w:p>
            <w:pPr>
              <w:pStyle w:val="TableContents"/>
              <w:widowControl w:val="false"/>
              <w:suppressLineNumbers/>
              <w:spacing w:before="0" w:after="200"/>
              <w:rPr/>
            </w:pPr>
            <w:r>
              <w:rPr/>
              <w:t>NV 5</w:t>
            </w:r>
          </w:p>
        </w:tc>
        <w:tc>
          <w:tcPr>
            <w:tcW w:w="3366" w:type="dxa"/>
            <w:tcBorders/>
            <w:vAlign w:val="center"/>
          </w:tcPr>
          <w:p>
            <w:pPr>
              <w:pStyle w:val="TableContents"/>
              <w:widowControl w:val="false"/>
              <w:suppressLineNumbers/>
              <w:spacing w:before="0" w:after="200"/>
              <w:rPr/>
            </w:pPr>
            <w:r>
              <w:rPr/>
              <w:t>Bán sản phẩm phần mềm cho công ty Thuận An, KCTGTT =8.000</w:t>
            </w:r>
          </w:p>
        </w:tc>
        <w:tc>
          <w:tcPr>
            <w:tcW w:w="902" w:type="dxa"/>
            <w:tcBorders/>
            <w:vAlign w:val="center"/>
          </w:tcPr>
          <w:p>
            <w:pPr>
              <w:pStyle w:val="TableContents"/>
              <w:spacing w:before="0" w:after="200"/>
              <w:rPr>
                <w:sz w:val="4"/>
                <w:szCs w:val="4"/>
              </w:rPr>
            </w:pPr>
            <w:r>
              <w:rPr>
                <w:sz w:val="4"/>
                <w:szCs w:val="4"/>
              </w:rPr>
            </w:r>
          </w:p>
        </w:tc>
        <w:tc>
          <w:tcPr>
            <w:tcW w:w="760" w:type="dxa"/>
            <w:tcBorders/>
            <w:vAlign w:val="center"/>
          </w:tcPr>
          <w:p>
            <w:pPr>
              <w:pStyle w:val="TableContents"/>
              <w:spacing w:before="0" w:after="200"/>
              <w:rPr>
                <w:sz w:val="4"/>
                <w:szCs w:val="4"/>
              </w:rPr>
            </w:pPr>
            <w:r>
              <w:rPr>
                <w:sz w:val="4"/>
                <w:szCs w:val="4"/>
              </w:rPr>
            </w:r>
          </w:p>
        </w:tc>
        <w:tc>
          <w:tcPr>
            <w:tcW w:w="678" w:type="dxa"/>
            <w:tcBorders/>
            <w:vAlign w:val="center"/>
          </w:tcPr>
          <w:p>
            <w:pPr>
              <w:pStyle w:val="TableContents"/>
              <w:spacing w:before="0" w:after="200"/>
              <w:rPr>
                <w:sz w:val="4"/>
                <w:szCs w:val="4"/>
              </w:rPr>
            </w:pPr>
            <w:r>
              <w:rPr>
                <w:sz w:val="4"/>
                <w:szCs w:val="4"/>
              </w:rPr>
            </w:r>
          </w:p>
        </w:tc>
        <w:tc>
          <w:tcPr>
            <w:tcW w:w="556" w:type="dxa"/>
            <w:tcBorders/>
            <w:vAlign w:val="center"/>
          </w:tcPr>
          <w:p>
            <w:pPr>
              <w:pStyle w:val="TableContents"/>
              <w:spacing w:before="0" w:after="200"/>
              <w:rPr>
                <w:sz w:val="4"/>
                <w:szCs w:val="4"/>
              </w:rPr>
            </w:pPr>
            <w:r>
              <w:rPr>
                <w:sz w:val="4"/>
                <w:szCs w:val="4"/>
              </w:rPr>
            </w:r>
          </w:p>
        </w:tc>
        <w:tc>
          <w:tcPr>
            <w:tcW w:w="341" w:type="dxa"/>
            <w:tcBorders/>
            <w:vAlign w:val="center"/>
          </w:tcPr>
          <w:p>
            <w:pPr>
              <w:pStyle w:val="TableContents"/>
              <w:spacing w:before="0" w:after="200"/>
              <w:rPr>
                <w:sz w:val="4"/>
                <w:szCs w:val="4"/>
              </w:rPr>
            </w:pPr>
            <w:r>
              <w:rPr>
                <w:sz w:val="4"/>
                <w:szCs w:val="4"/>
              </w:rPr>
            </w:r>
          </w:p>
        </w:tc>
        <w:tc>
          <w:tcPr>
            <w:tcW w:w="678" w:type="dxa"/>
            <w:tcBorders/>
            <w:vAlign w:val="center"/>
          </w:tcPr>
          <w:p>
            <w:pPr>
              <w:pStyle w:val="TableContents"/>
              <w:widowControl w:val="false"/>
              <w:suppressLineNumbers/>
              <w:spacing w:before="0" w:after="200"/>
              <w:rPr/>
            </w:pPr>
            <w:r>
              <w:rPr/>
              <w:t>8.000</w:t>
            </w:r>
          </w:p>
        </w:tc>
        <w:tc>
          <w:tcPr>
            <w:tcW w:w="725" w:type="dxa"/>
            <w:tcBorders/>
            <w:vAlign w:val="center"/>
          </w:tcPr>
          <w:p>
            <w:pPr>
              <w:pStyle w:val="TableContents"/>
              <w:spacing w:before="0" w:after="200"/>
              <w:rPr>
                <w:sz w:val="4"/>
                <w:szCs w:val="4"/>
              </w:rPr>
            </w:pPr>
            <w:r>
              <w:rPr>
                <w:sz w:val="4"/>
                <w:szCs w:val="4"/>
              </w:rPr>
            </w:r>
          </w:p>
        </w:tc>
      </w:tr>
      <w:tr>
        <w:trPr/>
        <w:tc>
          <w:tcPr>
            <w:tcW w:w="634" w:type="dxa"/>
            <w:tcBorders/>
            <w:vAlign w:val="center"/>
          </w:tcPr>
          <w:p>
            <w:pPr>
              <w:pStyle w:val="TableContents"/>
              <w:widowControl w:val="false"/>
              <w:suppressLineNumbers/>
              <w:spacing w:before="0" w:after="200"/>
              <w:rPr/>
            </w:pPr>
            <w:r>
              <w:rPr/>
              <w:t>NV 6</w:t>
            </w:r>
          </w:p>
        </w:tc>
        <w:tc>
          <w:tcPr>
            <w:tcW w:w="3366" w:type="dxa"/>
            <w:tcBorders/>
            <w:vAlign w:val="center"/>
          </w:tcPr>
          <w:p>
            <w:pPr>
              <w:pStyle w:val="TableContents"/>
              <w:widowControl w:val="false"/>
              <w:suppressLineNumbers/>
              <w:spacing w:before="0" w:after="200"/>
              <w:rPr/>
            </w:pPr>
            <w:r>
              <w:rPr/>
              <w:t>Bán 200 máy vi tính cho công ty Đông Hải, thuế suất 10% GTT = 25</w:t>
            </w:r>
            <w:r>
              <w:rPr>
                <w:rStyle w:val="Emphasis"/>
              </w:rPr>
              <w:t>200=5.000 Thuế GTGT = 5.000</w:t>
            </w:r>
            <w:r>
              <w:rPr/>
              <w:t>10%=500</w:t>
            </w:r>
          </w:p>
        </w:tc>
        <w:tc>
          <w:tcPr>
            <w:tcW w:w="902" w:type="dxa"/>
            <w:tcBorders/>
            <w:vAlign w:val="center"/>
          </w:tcPr>
          <w:p>
            <w:pPr>
              <w:pStyle w:val="TableContents"/>
              <w:widowControl w:val="false"/>
              <w:suppressLineNumbers/>
              <w:spacing w:before="0" w:after="200"/>
              <w:rPr/>
            </w:pPr>
            <w:r>
              <w:rPr/>
              <w:t>5.000</w:t>
            </w:r>
          </w:p>
        </w:tc>
        <w:tc>
          <w:tcPr>
            <w:tcW w:w="760" w:type="dxa"/>
            <w:tcBorders/>
            <w:vAlign w:val="center"/>
          </w:tcPr>
          <w:p>
            <w:pPr>
              <w:pStyle w:val="TableContents"/>
              <w:widowControl w:val="false"/>
              <w:suppressLineNumbers/>
              <w:spacing w:before="0" w:after="200"/>
              <w:rPr/>
            </w:pPr>
            <w:r>
              <w:rPr/>
              <w:t>500</w:t>
            </w:r>
          </w:p>
        </w:tc>
        <w:tc>
          <w:tcPr>
            <w:tcW w:w="678" w:type="dxa"/>
            <w:tcBorders/>
            <w:vAlign w:val="center"/>
          </w:tcPr>
          <w:p>
            <w:pPr>
              <w:pStyle w:val="TableContents"/>
              <w:spacing w:before="0" w:after="200"/>
              <w:rPr>
                <w:sz w:val="4"/>
                <w:szCs w:val="4"/>
              </w:rPr>
            </w:pPr>
            <w:r>
              <w:rPr>
                <w:sz w:val="4"/>
                <w:szCs w:val="4"/>
              </w:rPr>
            </w:r>
          </w:p>
        </w:tc>
        <w:tc>
          <w:tcPr>
            <w:tcW w:w="556" w:type="dxa"/>
            <w:tcBorders/>
            <w:vAlign w:val="center"/>
          </w:tcPr>
          <w:p>
            <w:pPr>
              <w:pStyle w:val="TableContents"/>
              <w:spacing w:before="0" w:after="200"/>
              <w:rPr>
                <w:sz w:val="4"/>
                <w:szCs w:val="4"/>
              </w:rPr>
            </w:pPr>
            <w:r>
              <w:rPr>
                <w:sz w:val="4"/>
                <w:szCs w:val="4"/>
              </w:rPr>
            </w:r>
          </w:p>
        </w:tc>
        <w:tc>
          <w:tcPr>
            <w:tcW w:w="341" w:type="dxa"/>
            <w:tcBorders/>
            <w:vAlign w:val="center"/>
          </w:tcPr>
          <w:p>
            <w:pPr>
              <w:pStyle w:val="TableContents"/>
              <w:spacing w:before="0" w:after="200"/>
              <w:rPr>
                <w:sz w:val="4"/>
                <w:szCs w:val="4"/>
              </w:rPr>
            </w:pPr>
            <w:r>
              <w:rPr>
                <w:sz w:val="4"/>
                <w:szCs w:val="4"/>
              </w:rPr>
            </w:r>
          </w:p>
        </w:tc>
        <w:tc>
          <w:tcPr>
            <w:tcW w:w="678" w:type="dxa"/>
            <w:tcBorders/>
            <w:vAlign w:val="center"/>
          </w:tcPr>
          <w:p>
            <w:pPr>
              <w:pStyle w:val="TableContents"/>
              <w:spacing w:before="0" w:after="200"/>
              <w:rPr>
                <w:sz w:val="4"/>
                <w:szCs w:val="4"/>
              </w:rPr>
            </w:pPr>
            <w:r>
              <w:rPr>
                <w:sz w:val="4"/>
                <w:szCs w:val="4"/>
              </w:rPr>
            </w:r>
          </w:p>
        </w:tc>
        <w:tc>
          <w:tcPr>
            <w:tcW w:w="725" w:type="dxa"/>
            <w:tcBorders/>
            <w:vAlign w:val="center"/>
          </w:tcPr>
          <w:p>
            <w:pPr>
              <w:pStyle w:val="TableContents"/>
              <w:widowControl w:val="false"/>
              <w:suppressLineNumbers/>
              <w:spacing w:before="0" w:after="200"/>
              <w:rPr/>
            </w:pPr>
            <w:r>
              <w:rPr/>
              <w:t>5.000</w:t>
            </w:r>
          </w:p>
        </w:tc>
      </w:tr>
      <w:tr>
        <w:trPr/>
        <w:tc>
          <w:tcPr>
            <w:tcW w:w="634" w:type="dxa"/>
            <w:tcBorders/>
            <w:vAlign w:val="center"/>
          </w:tcPr>
          <w:p>
            <w:pPr>
              <w:pStyle w:val="TableContents"/>
              <w:widowControl w:val="false"/>
              <w:suppressLineNumbers/>
              <w:spacing w:before="0" w:after="200"/>
              <w:rPr/>
            </w:pPr>
            <w:r>
              <w:rPr>
                <w:rStyle w:val="Strong"/>
              </w:rPr>
              <w:t>Tổng</w:t>
            </w:r>
          </w:p>
        </w:tc>
        <w:tc>
          <w:tcPr>
            <w:tcW w:w="3366" w:type="dxa"/>
            <w:tcBorders/>
            <w:vAlign w:val="center"/>
          </w:tcPr>
          <w:p>
            <w:pPr>
              <w:pStyle w:val="TableContents"/>
              <w:spacing w:before="0" w:after="200"/>
              <w:rPr>
                <w:sz w:val="4"/>
                <w:szCs w:val="4"/>
              </w:rPr>
            </w:pPr>
            <w:r>
              <w:rPr>
                <w:sz w:val="4"/>
                <w:szCs w:val="4"/>
              </w:rPr>
            </w:r>
          </w:p>
        </w:tc>
        <w:tc>
          <w:tcPr>
            <w:tcW w:w="902" w:type="dxa"/>
            <w:tcBorders/>
            <w:vAlign w:val="center"/>
          </w:tcPr>
          <w:p>
            <w:pPr>
              <w:pStyle w:val="TableContents"/>
              <w:widowControl w:val="false"/>
              <w:suppressLineNumbers/>
              <w:spacing w:before="0" w:after="200"/>
              <w:rPr/>
            </w:pPr>
            <w:r>
              <w:rPr>
                <w:rStyle w:val="Strong"/>
              </w:rPr>
              <w:t>13.200</w:t>
            </w:r>
          </w:p>
        </w:tc>
        <w:tc>
          <w:tcPr>
            <w:tcW w:w="760" w:type="dxa"/>
            <w:tcBorders/>
            <w:vAlign w:val="center"/>
          </w:tcPr>
          <w:p>
            <w:pPr>
              <w:pStyle w:val="TableContents"/>
              <w:widowControl w:val="false"/>
              <w:suppressLineNumbers/>
              <w:spacing w:before="0" w:after="200"/>
              <w:rPr/>
            </w:pPr>
            <w:r>
              <w:rPr>
                <w:rStyle w:val="Strong"/>
              </w:rPr>
              <w:t>500</w:t>
            </w:r>
          </w:p>
        </w:tc>
        <w:tc>
          <w:tcPr>
            <w:tcW w:w="678" w:type="dxa"/>
            <w:tcBorders/>
            <w:vAlign w:val="center"/>
          </w:tcPr>
          <w:p>
            <w:pPr>
              <w:pStyle w:val="TableContents"/>
              <w:widowControl w:val="false"/>
              <w:suppressLineNumbers/>
              <w:spacing w:before="0" w:after="200"/>
              <w:rPr/>
            </w:pPr>
            <w:r>
              <w:rPr>
                <w:rStyle w:val="Strong"/>
              </w:rPr>
              <w:t>8.200</w:t>
            </w:r>
          </w:p>
        </w:tc>
        <w:tc>
          <w:tcPr>
            <w:tcW w:w="556" w:type="dxa"/>
            <w:tcBorders/>
            <w:vAlign w:val="center"/>
          </w:tcPr>
          <w:p>
            <w:pPr>
              <w:pStyle w:val="TableContents"/>
              <w:widowControl w:val="false"/>
              <w:suppressLineNumbers/>
              <w:spacing w:before="0" w:after="200"/>
              <w:rPr/>
            </w:pPr>
            <w:r>
              <w:rPr>
                <w:rStyle w:val="Strong"/>
              </w:rPr>
              <w:t>800</w:t>
            </w:r>
          </w:p>
        </w:tc>
        <w:tc>
          <w:tcPr>
            <w:tcW w:w="341" w:type="dxa"/>
            <w:tcBorders/>
            <w:vAlign w:val="center"/>
          </w:tcPr>
          <w:p>
            <w:pPr>
              <w:pStyle w:val="TableContents"/>
              <w:spacing w:before="0" w:after="200"/>
              <w:rPr>
                <w:sz w:val="4"/>
                <w:szCs w:val="4"/>
              </w:rPr>
            </w:pPr>
            <w:r>
              <w:rPr>
                <w:sz w:val="4"/>
                <w:szCs w:val="4"/>
              </w:rPr>
            </w:r>
          </w:p>
        </w:tc>
        <w:tc>
          <w:tcPr>
            <w:tcW w:w="678" w:type="dxa"/>
            <w:tcBorders/>
            <w:vAlign w:val="center"/>
          </w:tcPr>
          <w:p>
            <w:pPr>
              <w:pStyle w:val="TableContents"/>
              <w:widowControl w:val="false"/>
              <w:suppressLineNumbers/>
              <w:spacing w:before="0" w:after="200"/>
              <w:rPr/>
            </w:pPr>
            <w:r>
              <w:rPr>
                <w:rStyle w:val="Strong"/>
              </w:rPr>
              <w:t>8.000</w:t>
            </w:r>
          </w:p>
        </w:tc>
        <w:tc>
          <w:tcPr>
            <w:tcW w:w="725" w:type="dxa"/>
            <w:tcBorders/>
            <w:vAlign w:val="center"/>
          </w:tcPr>
          <w:p>
            <w:pPr>
              <w:pStyle w:val="TableContents"/>
              <w:widowControl w:val="false"/>
              <w:suppressLineNumbers/>
              <w:spacing w:before="0" w:after="200"/>
              <w:rPr/>
            </w:pPr>
            <w:r>
              <w:rPr>
                <w:rStyle w:val="Strong"/>
              </w:rPr>
              <w:t>5.000</w:t>
            </w:r>
          </w:p>
        </w:tc>
      </w:tr>
    </w:tbl>
    <w:p>
      <w:pPr>
        <w:pStyle w:val="BodyText"/>
        <w:rPr/>
      </w:pPr>
      <w:r>
        <w:rPr/>
        <w:t>Tỷ lệ phân bổ: (8.200 + 5.000) / (8.200 + 800 + 8.000 + 5.000) * 100% = 60%</w:t>
      </w:r>
    </w:p>
    <w:p>
      <w:pPr>
        <w:pStyle w:val="BodyText"/>
        <w:rPr/>
      </w:pPr>
      <w:r>
        <w:rPr>
          <w:rStyle w:val="Strong"/>
        </w:rPr>
        <w:t>2. Xác định thuế GTGT đầu vào được khấu trừ</w:t>
      </w:r>
      <w:r>
        <w:rPr/>
        <w:t xml:space="preserve"> (ĐVT: Triệu đồng)</w:t>
      </w:r>
    </w:p>
    <w:tbl>
      <w:tblPr>
        <w:tblW w:w="8640" w:type="dxa"/>
        <w:jc w:val="left"/>
        <w:tblInd w:w="28" w:type="dxa"/>
        <w:tblLayout w:type="fixed"/>
        <w:tblCellMar>
          <w:top w:w="28" w:type="dxa"/>
          <w:left w:w="28" w:type="dxa"/>
          <w:bottom w:w="28" w:type="dxa"/>
          <w:right w:w="28" w:type="dxa"/>
        </w:tblCellMar>
      </w:tblPr>
      <w:tblGrid>
        <w:gridCol w:w="634"/>
        <w:gridCol w:w="5273"/>
        <w:gridCol w:w="821"/>
        <w:gridCol w:w="762"/>
        <w:gridCol w:w="1150"/>
      </w:tblGrid>
      <w:tr>
        <w:trPr/>
        <w:tc>
          <w:tcPr>
            <w:tcW w:w="634" w:type="dxa"/>
            <w:tcBorders/>
            <w:vAlign w:val="center"/>
          </w:tcPr>
          <w:p>
            <w:pPr>
              <w:pStyle w:val="TableHeading"/>
              <w:suppressLineNumbers/>
              <w:spacing w:before="0" w:after="200"/>
              <w:jc w:val="center"/>
              <w:rPr/>
            </w:pPr>
            <w:r>
              <w:rPr>
                <w:rStyle w:val="Strong"/>
                <w:b/>
                <w:bCs/>
              </w:rPr>
              <w:t>NV</w:t>
            </w:r>
          </w:p>
        </w:tc>
        <w:tc>
          <w:tcPr>
            <w:tcW w:w="5273" w:type="dxa"/>
            <w:tcBorders/>
            <w:vAlign w:val="center"/>
          </w:tcPr>
          <w:p>
            <w:pPr>
              <w:pStyle w:val="TableHeading"/>
              <w:suppressLineNumbers/>
              <w:spacing w:before="0" w:after="200"/>
              <w:jc w:val="center"/>
              <w:rPr/>
            </w:pPr>
            <w:r>
              <w:rPr>
                <w:rStyle w:val="Strong"/>
                <w:b/>
                <w:bCs/>
              </w:rPr>
              <w:t>Diễn giải</w:t>
            </w:r>
          </w:p>
        </w:tc>
        <w:tc>
          <w:tcPr>
            <w:tcW w:w="821" w:type="dxa"/>
            <w:tcBorders/>
            <w:vAlign w:val="center"/>
          </w:tcPr>
          <w:p>
            <w:pPr>
              <w:pStyle w:val="TableHeading"/>
              <w:suppressLineNumbers/>
              <w:spacing w:before="0" w:after="200"/>
              <w:jc w:val="center"/>
              <w:rPr/>
            </w:pPr>
            <w:r>
              <w:rPr>
                <w:rStyle w:val="Strong"/>
                <w:b/>
                <w:bCs/>
              </w:rPr>
              <w:t>Giá trị mua vào</w:t>
            </w:r>
          </w:p>
        </w:tc>
        <w:tc>
          <w:tcPr>
            <w:tcW w:w="762" w:type="dxa"/>
            <w:tcBorders/>
            <w:vAlign w:val="center"/>
          </w:tcPr>
          <w:p>
            <w:pPr>
              <w:pStyle w:val="TableHeading"/>
              <w:suppressLineNumbers/>
              <w:spacing w:before="0" w:after="200"/>
              <w:jc w:val="center"/>
              <w:rPr/>
            </w:pPr>
            <w:r>
              <w:rPr>
                <w:rStyle w:val="Strong"/>
                <w:b/>
                <w:bCs/>
              </w:rPr>
              <w:t>Thuế GTGT</w:t>
            </w:r>
          </w:p>
        </w:tc>
        <w:tc>
          <w:tcPr>
            <w:tcW w:w="1150" w:type="dxa"/>
            <w:tcBorders/>
            <w:vAlign w:val="center"/>
          </w:tcPr>
          <w:p>
            <w:pPr>
              <w:pStyle w:val="TableHeading"/>
              <w:suppressLineNumbers/>
              <w:spacing w:before="0" w:after="200"/>
              <w:jc w:val="center"/>
              <w:rPr/>
            </w:pPr>
            <w:r>
              <w:rPr>
                <w:rStyle w:val="Strong"/>
                <w:b/>
                <w:bCs/>
              </w:rPr>
              <w:t>Thuế GTGT được khấu trừ</w:t>
            </w:r>
          </w:p>
        </w:tc>
      </w:tr>
      <w:tr>
        <w:trPr/>
        <w:tc>
          <w:tcPr>
            <w:tcW w:w="634" w:type="dxa"/>
            <w:tcBorders/>
            <w:vAlign w:val="center"/>
          </w:tcPr>
          <w:p>
            <w:pPr>
              <w:pStyle w:val="TableContents"/>
              <w:widowControl w:val="false"/>
              <w:suppressLineNumbers/>
              <w:spacing w:before="0" w:after="200"/>
              <w:rPr/>
            </w:pPr>
            <w:r>
              <w:rPr/>
              <w:t>NV 1</w:t>
            </w:r>
          </w:p>
        </w:tc>
        <w:tc>
          <w:tcPr>
            <w:tcW w:w="5273" w:type="dxa"/>
            <w:tcBorders/>
            <w:vAlign w:val="center"/>
          </w:tcPr>
          <w:p>
            <w:pPr>
              <w:pStyle w:val="TableContents"/>
              <w:widowControl w:val="false"/>
              <w:suppressLineNumbers/>
              <w:spacing w:before="0" w:after="200"/>
              <w:rPr/>
            </w:pPr>
            <w:r>
              <w:rPr/>
              <w:t>Nhập khẩu 100 máy vi tính để bán lại trong nước, thuế suất 10%, thuế GTGT hàng nhập khẩu nộp bằng tiền mặt vẫn được chấp nhận GTT = 3.200 Thuế GTGT = 3.200*10%=320 Thuế GTGT được khấu trừ = 320</w:t>
            </w:r>
          </w:p>
        </w:tc>
        <w:tc>
          <w:tcPr>
            <w:tcW w:w="821" w:type="dxa"/>
            <w:tcBorders/>
            <w:vAlign w:val="center"/>
          </w:tcPr>
          <w:p>
            <w:pPr>
              <w:pStyle w:val="TableContents"/>
              <w:widowControl w:val="false"/>
              <w:suppressLineNumbers/>
              <w:spacing w:before="0" w:after="200"/>
              <w:rPr/>
            </w:pPr>
            <w:r>
              <w:rPr/>
              <w:t>3.200</w:t>
            </w:r>
          </w:p>
        </w:tc>
        <w:tc>
          <w:tcPr>
            <w:tcW w:w="762" w:type="dxa"/>
            <w:tcBorders/>
            <w:vAlign w:val="center"/>
          </w:tcPr>
          <w:p>
            <w:pPr>
              <w:pStyle w:val="TableContents"/>
              <w:widowControl w:val="false"/>
              <w:suppressLineNumbers/>
              <w:spacing w:before="0" w:after="200"/>
              <w:rPr/>
            </w:pPr>
            <w:r>
              <w:rPr/>
              <w:t>320</w:t>
            </w:r>
          </w:p>
        </w:tc>
        <w:tc>
          <w:tcPr>
            <w:tcW w:w="1150" w:type="dxa"/>
            <w:tcBorders/>
            <w:vAlign w:val="center"/>
          </w:tcPr>
          <w:p>
            <w:pPr>
              <w:pStyle w:val="TableContents"/>
              <w:widowControl w:val="false"/>
              <w:suppressLineNumbers/>
              <w:spacing w:before="0" w:after="200"/>
              <w:rPr/>
            </w:pPr>
            <w:r>
              <w:rPr/>
              <w:t>320</w:t>
            </w:r>
          </w:p>
        </w:tc>
      </w:tr>
      <w:tr>
        <w:trPr/>
        <w:tc>
          <w:tcPr>
            <w:tcW w:w="634" w:type="dxa"/>
            <w:tcBorders/>
            <w:vAlign w:val="center"/>
          </w:tcPr>
          <w:p>
            <w:pPr>
              <w:pStyle w:val="TableContents"/>
              <w:widowControl w:val="false"/>
              <w:suppressLineNumbers/>
              <w:spacing w:before="0" w:after="200"/>
              <w:rPr/>
            </w:pPr>
            <w:r>
              <w:rPr/>
              <w:t>NV 2</w:t>
            </w:r>
          </w:p>
        </w:tc>
        <w:tc>
          <w:tcPr>
            <w:tcW w:w="5273" w:type="dxa"/>
            <w:tcBorders/>
            <w:vAlign w:val="center"/>
          </w:tcPr>
          <w:p>
            <w:pPr>
              <w:pStyle w:val="TableContents"/>
              <w:widowControl w:val="false"/>
              <w:suppressLineNumbers/>
              <w:spacing w:before="0" w:after="200"/>
              <w:rPr/>
            </w:pPr>
            <w:r>
              <w:rPr/>
              <w:t>Mua 1 xe oto 7 chỗ để làm tài sản dùng phục vụ chung cho hoạt động SXKD, chỉ được khấu trừ thuế GTGT tương ứng với nguyên giá 1.600tr và phải phân bổ GTT = 2.100 Thuế GTGT = 2.100</w:t>
            </w:r>
            <w:r>
              <w:rPr>
                <w:rStyle w:val="Emphasis"/>
              </w:rPr>
              <w:t>10%=210 Thuế GTGT được khấu trừ = 160</w:t>
            </w:r>
            <w:r>
              <w:rPr/>
              <w:t>60%= 96</w:t>
            </w:r>
          </w:p>
        </w:tc>
        <w:tc>
          <w:tcPr>
            <w:tcW w:w="821" w:type="dxa"/>
            <w:tcBorders/>
            <w:vAlign w:val="center"/>
          </w:tcPr>
          <w:p>
            <w:pPr>
              <w:pStyle w:val="TableContents"/>
              <w:widowControl w:val="false"/>
              <w:suppressLineNumbers/>
              <w:spacing w:before="0" w:after="200"/>
              <w:rPr/>
            </w:pPr>
            <w:r>
              <w:rPr/>
              <w:t>2.100</w:t>
            </w:r>
          </w:p>
        </w:tc>
        <w:tc>
          <w:tcPr>
            <w:tcW w:w="762" w:type="dxa"/>
            <w:tcBorders/>
            <w:vAlign w:val="center"/>
          </w:tcPr>
          <w:p>
            <w:pPr>
              <w:pStyle w:val="TableContents"/>
              <w:widowControl w:val="false"/>
              <w:suppressLineNumbers/>
              <w:spacing w:before="0" w:after="200"/>
              <w:rPr/>
            </w:pPr>
            <w:r>
              <w:rPr/>
              <w:t>210</w:t>
            </w:r>
          </w:p>
        </w:tc>
        <w:tc>
          <w:tcPr>
            <w:tcW w:w="1150" w:type="dxa"/>
            <w:tcBorders/>
            <w:vAlign w:val="center"/>
          </w:tcPr>
          <w:p>
            <w:pPr>
              <w:pStyle w:val="TableContents"/>
              <w:widowControl w:val="false"/>
              <w:suppressLineNumbers/>
              <w:spacing w:before="0" w:after="200"/>
              <w:rPr/>
            </w:pPr>
            <w:r>
              <w:rPr/>
              <w:t>96</w:t>
            </w:r>
          </w:p>
        </w:tc>
      </w:tr>
      <w:tr>
        <w:trPr/>
        <w:tc>
          <w:tcPr>
            <w:tcW w:w="634" w:type="dxa"/>
            <w:tcBorders/>
            <w:vAlign w:val="center"/>
          </w:tcPr>
          <w:p>
            <w:pPr>
              <w:pStyle w:val="TableContents"/>
              <w:widowControl w:val="false"/>
              <w:suppressLineNumbers/>
              <w:spacing w:before="0" w:after="200"/>
              <w:rPr/>
            </w:pPr>
            <w:r>
              <w:rPr/>
              <w:t>NV 7</w:t>
            </w:r>
          </w:p>
        </w:tc>
        <w:tc>
          <w:tcPr>
            <w:tcW w:w="5273" w:type="dxa"/>
            <w:tcBorders/>
            <w:vAlign w:val="center"/>
          </w:tcPr>
          <w:p>
            <w:pPr>
              <w:pStyle w:val="TableContents"/>
              <w:widowControl w:val="false"/>
              <w:suppressLineNumbers/>
              <w:spacing w:before="0" w:after="200"/>
              <w:rPr/>
            </w:pPr>
            <w:r>
              <w:rPr/>
              <w:t>Mua hàng hóa, dịch vụ khác. Công ty không thể tách giá trị hàng hóa, dịch vụ này dùng cho hoạt động nào. Các khoản chi đều có hóa đơn, chứng từ hợp lý và được thanh toán qua tài khoản ngân hàng. Dùng chung phải phân bổ GTT = 186 Thuế GTGT = 18,6 Thuế GTGT được khấu trừ = 18,6*60%= 11,16</w:t>
            </w:r>
          </w:p>
        </w:tc>
        <w:tc>
          <w:tcPr>
            <w:tcW w:w="821" w:type="dxa"/>
            <w:tcBorders/>
            <w:vAlign w:val="center"/>
          </w:tcPr>
          <w:p>
            <w:pPr>
              <w:pStyle w:val="TableContents"/>
              <w:widowControl w:val="false"/>
              <w:suppressLineNumbers/>
              <w:spacing w:before="0" w:after="200"/>
              <w:rPr/>
            </w:pPr>
            <w:r>
              <w:rPr/>
              <w:t>186</w:t>
            </w:r>
          </w:p>
        </w:tc>
        <w:tc>
          <w:tcPr>
            <w:tcW w:w="762" w:type="dxa"/>
            <w:tcBorders/>
            <w:vAlign w:val="center"/>
          </w:tcPr>
          <w:p>
            <w:pPr>
              <w:pStyle w:val="TableContents"/>
              <w:widowControl w:val="false"/>
              <w:suppressLineNumbers/>
              <w:spacing w:before="0" w:after="200"/>
              <w:rPr/>
            </w:pPr>
            <w:r>
              <w:rPr/>
              <w:t>18,6</w:t>
            </w:r>
          </w:p>
        </w:tc>
        <w:tc>
          <w:tcPr>
            <w:tcW w:w="1150" w:type="dxa"/>
            <w:tcBorders/>
            <w:vAlign w:val="center"/>
          </w:tcPr>
          <w:p>
            <w:pPr>
              <w:pStyle w:val="TableContents"/>
              <w:widowControl w:val="false"/>
              <w:suppressLineNumbers/>
              <w:spacing w:before="0" w:after="200"/>
              <w:rPr/>
            </w:pPr>
            <w:r>
              <w:rPr/>
              <w:t>11,16</w:t>
            </w:r>
          </w:p>
        </w:tc>
      </w:tr>
      <w:tr>
        <w:trPr/>
        <w:tc>
          <w:tcPr>
            <w:tcW w:w="634" w:type="dxa"/>
            <w:tcBorders/>
            <w:vAlign w:val="center"/>
          </w:tcPr>
          <w:p>
            <w:pPr>
              <w:pStyle w:val="TableContents"/>
              <w:widowControl w:val="false"/>
              <w:suppressLineNumbers/>
              <w:spacing w:before="0" w:after="200"/>
              <w:rPr/>
            </w:pPr>
            <w:r>
              <w:rPr>
                <w:rStyle w:val="Strong"/>
              </w:rPr>
              <w:t>Tổng</w:t>
            </w:r>
          </w:p>
        </w:tc>
        <w:tc>
          <w:tcPr>
            <w:tcW w:w="5273" w:type="dxa"/>
            <w:tcBorders/>
            <w:vAlign w:val="center"/>
          </w:tcPr>
          <w:p>
            <w:pPr>
              <w:pStyle w:val="TableContents"/>
              <w:spacing w:before="0" w:after="200"/>
              <w:rPr>
                <w:sz w:val="4"/>
                <w:szCs w:val="4"/>
              </w:rPr>
            </w:pPr>
            <w:r>
              <w:rPr>
                <w:sz w:val="4"/>
                <w:szCs w:val="4"/>
              </w:rPr>
            </w:r>
          </w:p>
        </w:tc>
        <w:tc>
          <w:tcPr>
            <w:tcW w:w="821" w:type="dxa"/>
            <w:tcBorders/>
            <w:vAlign w:val="center"/>
          </w:tcPr>
          <w:p>
            <w:pPr>
              <w:pStyle w:val="TableContents"/>
              <w:widowControl w:val="false"/>
              <w:suppressLineNumbers/>
              <w:spacing w:before="0" w:after="200"/>
              <w:rPr/>
            </w:pPr>
            <w:r>
              <w:rPr>
                <w:rStyle w:val="Strong"/>
              </w:rPr>
              <w:t>5.486</w:t>
            </w:r>
          </w:p>
        </w:tc>
        <w:tc>
          <w:tcPr>
            <w:tcW w:w="762" w:type="dxa"/>
            <w:tcBorders/>
            <w:vAlign w:val="center"/>
          </w:tcPr>
          <w:p>
            <w:pPr>
              <w:pStyle w:val="TableContents"/>
              <w:widowControl w:val="false"/>
              <w:suppressLineNumbers/>
              <w:spacing w:before="0" w:after="200"/>
              <w:rPr/>
            </w:pPr>
            <w:r>
              <w:rPr>
                <w:rStyle w:val="Strong"/>
              </w:rPr>
              <w:t>548,6</w:t>
            </w:r>
          </w:p>
        </w:tc>
        <w:tc>
          <w:tcPr>
            <w:tcW w:w="1150" w:type="dxa"/>
            <w:tcBorders/>
            <w:vAlign w:val="center"/>
          </w:tcPr>
          <w:p>
            <w:pPr>
              <w:pStyle w:val="TableContents"/>
              <w:widowControl w:val="false"/>
              <w:suppressLineNumbers/>
              <w:spacing w:before="0" w:after="200"/>
              <w:rPr/>
            </w:pPr>
            <w:r>
              <w:rPr>
                <w:rStyle w:val="Strong"/>
              </w:rPr>
              <w:t>427,16</w:t>
            </w:r>
          </w:p>
        </w:tc>
      </w:tr>
    </w:tbl>
    <w:p>
      <w:pPr>
        <w:pStyle w:val="BodyText"/>
        <w:rPr/>
      </w:pPr>
      <w:r>
        <w:rPr>
          <w:rStyle w:val="Strong"/>
        </w:rPr>
        <w:t>Thuế GTGT phát sinh trong kỳ = 500 - 427,16 = 72,84 triệu đồng.</w:t>
      </w:r>
      <w:r>
        <w:rPr/>
        <w:t xml:space="preserve"> </w:t>
      </w:r>
      <w:r>
        <w:rPr>
          <w:rStyle w:val="Strong"/>
        </w:rPr>
        <w:t>Thuế GTGT kỳ trước chuyển sang = 32 triệu đồng.</w:t>
      </w:r>
      <w:r>
        <w:rPr/>
        <w:t xml:space="preserve"> </w:t>
      </w:r>
      <w:r>
        <w:rPr>
          <w:rStyle w:val="Strong"/>
        </w:rPr>
        <w:t>Điều chỉnh thuế GTGT của kỳ trước:</w:t>
      </w:r>
      <w:r>
        <w:rPr/>
        <w:t xml:space="preserve"> Trong kỳ khai thuế tháng 10/2022 công ty kê khai bỏ sót 1 hóa đơn bán ra. Công ty tiến hành nộp hồ sơ khai thuế bổ sung cho kỳ khai thuế tháng 10/2022 đã làm giảm số thuế GTGT còn được khấu trừ 20 triệu. Tại kỳ tháng 4/2023, điều chỉnh tăng chỉ tiêu: 20tr </w:t>
      </w:r>
      <w:r>
        <w:rPr>
          <w:rStyle w:val="Strong"/>
        </w:rPr>
        <w:t>Thuế GTGT còn phải nộp kỳ này = 72,84 - 32 + 20 = 60,84 triệu đồng.</w:t>
      </w:r>
    </w:p>
    <w:p>
      <w:pPr>
        <w:pStyle w:val="BodyText"/>
        <w:rPr/>
      </w:pPr>
      <w:r>
        <w:rPr>
          <w:rStyle w:val="Strong"/>
        </w:rPr>
        <w:t>Kết luận:</w:t>
      </w:r>
      <w:r>
        <w:rPr/>
        <w:t xml:space="preserve"> Công ty có số thuế GTGT phải nộp kỳ này là 60,84 triệu đồng.</w:t>
      </w:r>
    </w:p>
    <w:p>
      <w:pPr>
        <w:pStyle w:val="BodyText"/>
        <w:rPr/>
      </w:pPr>
      <w:r>
        <w:rPr>
          <w:rStyle w:val="Strong"/>
        </w:rPr>
        <w:t>Gợi ý lời giải bài tập 2: Thuế TNDN</w:t>
      </w:r>
    </w:p>
    <w:p>
      <w:pPr>
        <w:pStyle w:val="BodyText"/>
        <w:rPr/>
      </w:pPr>
      <w:r>
        <w:rPr>
          <w:rStyle w:val="Strong"/>
        </w:rPr>
        <w:t>Bài 2 (3,5 điểm).</w:t>
      </w:r>
      <w:r>
        <w:rPr/>
        <w:t xml:space="preserve"> – Kỳ tính thuế TNDN của DN là năm dương lịch – Các chi phí phát sinh của DN có HĐ, chứng từ đầy đủ và hợp pháp, đủ điều kiện tính vào CP được trừ – Công ty tính thuế theo phương pháp kê khai</w:t>
      </w:r>
    </w:p>
    <w:p>
      <w:pPr>
        <w:pStyle w:val="BodyText"/>
        <w:rPr/>
      </w:pPr>
      <w:r>
        <w:rPr>
          <w:rStyle w:val="Strong"/>
        </w:rPr>
        <w:t>Xác định số thuế TNDN</w:t>
      </w:r>
      <w:r>
        <w:rPr/>
        <w:t xml:space="preserve"> Ta có công thức: Thuế TNDN phải nộp = (Thu nhập tính thuế – Phần trích lập quỹ KH&amp;CN (nếu có)) x Thuế suất thuế TNDN Thu nhập tính thuế = Thu nhập chịu thuế – (Thu nhập được miễn thuế + Các khoản lỗ được kết chuyển theo quy định) Thu nhập chịu thuế = (Doanh thu – Chi phí được trừ) + Các khoản thu nhập khác</w:t>
      </w:r>
    </w:p>
    <w:tbl>
      <w:tblPr>
        <w:tblW w:w="8640" w:type="dxa"/>
        <w:jc w:val="left"/>
        <w:tblInd w:w="28" w:type="dxa"/>
        <w:tblLayout w:type="fixed"/>
        <w:tblCellMar>
          <w:top w:w="28" w:type="dxa"/>
          <w:left w:w="28" w:type="dxa"/>
          <w:bottom w:w="28" w:type="dxa"/>
          <w:right w:w="28" w:type="dxa"/>
        </w:tblCellMar>
      </w:tblPr>
      <w:tblGrid>
        <w:gridCol w:w="5281"/>
        <w:gridCol w:w="1121"/>
        <w:gridCol w:w="1143"/>
        <w:gridCol w:w="1095"/>
      </w:tblGrid>
      <w:tr>
        <w:trPr/>
        <w:tc>
          <w:tcPr>
            <w:tcW w:w="5281" w:type="dxa"/>
            <w:tcBorders/>
            <w:vAlign w:val="center"/>
          </w:tcPr>
          <w:p>
            <w:pPr>
              <w:pStyle w:val="TableHeading"/>
              <w:suppressLineNumbers/>
              <w:spacing w:before="0" w:after="200"/>
              <w:jc w:val="center"/>
              <w:rPr/>
            </w:pPr>
            <w:r>
              <w:rPr>
                <w:rStyle w:val="Strong"/>
                <w:b/>
                <w:bCs/>
              </w:rPr>
              <w:t>Chỉ tiêu</w:t>
            </w:r>
          </w:p>
        </w:tc>
        <w:tc>
          <w:tcPr>
            <w:tcW w:w="1121" w:type="dxa"/>
            <w:tcBorders/>
            <w:vAlign w:val="center"/>
          </w:tcPr>
          <w:p>
            <w:pPr>
              <w:pStyle w:val="TableHeading"/>
              <w:suppressLineNumbers/>
              <w:spacing w:before="0" w:after="200"/>
              <w:jc w:val="center"/>
              <w:rPr/>
            </w:pPr>
            <w:r>
              <w:rPr>
                <w:rStyle w:val="Strong"/>
                <w:b/>
                <w:bCs/>
              </w:rPr>
              <w:t>BÁO CÁO KQKD</w:t>
            </w:r>
          </w:p>
        </w:tc>
        <w:tc>
          <w:tcPr>
            <w:tcW w:w="1143" w:type="dxa"/>
            <w:tcBorders/>
            <w:vAlign w:val="center"/>
          </w:tcPr>
          <w:p>
            <w:pPr>
              <w:pStyle w:val="TableHeading"/>
              <w:suppressLineNumbers/>
              <w:spacing w:before="0" w:after="200"/>
              <w:jc w:val="center"/>
              <w:rPr/>
            </w:pPr>
            <w:r>
              <w:rPr>
                <w:rStyle w:val="Strong"/>
                <w:b/>
                <w:bCs/>
              </w:rPr>
              <w:t>kinh doanh ô tô</w:t>
            </w:r>
          </w:p>
        </w:tc>
        <w:tc>
          <w:tcPr>
            <w:tcW w:w="1095" w:type="dxa"/>
            <w:tcBorders/>
            <w:vAlign w:val="center"/>
          </w:tcPr>
          <w:p>
            <w:pPr>
              <w:pStyle w:val="TableHeading"/>
              <w:suppressLineNumbers/>
              <w:spacing w:before="0" w:after="200"/>
              <w:jc w:val="center"/>
              <w:rPr/>
            </w:pPr>
            <w:r>
              <w:rPr>
                <w:rStyle w:val="Strong"/>
                <w:b/>
                <w:bCs/>
              </w:rPr>
              <w:t>Thu nhập khác</w:t>
            </w:r>
          </w:p>
        </w:tc>
      </w:tr>
      <w:tr>
        <w:trPr/>
        <w:tc>
          <w:tcPr>
            <w:tcW w:w="5281" w:type="dxa"/>
            <w:tcBorders/>
            <w:vAlign w:val="center"/>
          </w:tcPr>
          <w:p>
            <w:pPr>
              <w:pStyle w:val="TableContents"/>
              <w:widowControl w:val="false"/>
              <w:suppressLineNumbers/>
              <w:spacing w:before="0" w:after="200"/>
              <w:rPr/>
            </w:pPr>
            <w:r>
              <w:rPr/>
              <w:t>1. Doanh thu</w:t>
            </w:r>
          </w:p>
        </w:tc>
        <w:tc>
          <w:tcPr>
            <w:tcW w:w="1121" w:type="dxa"/>
            <w:tcBorders/>
            <w:vAlign w:val="center"/>
          </w:tcPr>
          <w:p>
            <w:pPr>
              <w:pStyle w:val="TableContents"/>
              <w:widowControl w:val="false"/>
              <w:suppressLineNumbers/>
              <w:spacing w:before="0" w:after="200"/>
              <w:rPr/>
            </w:pPr>
            <w:r>
              <w:rPr/>
              <w:t>190</w:t>
            </w:r>
          </w:p>
        </w:tc>
        <w:tc>
          <w:tcPr>
            <w:tcW w:w="1143" w:type="dxa"/>
            <w:tcBorders/>
            <w:vAlign w:val="center"/>
          </w:tcPr>
          <w:p>
            <w:pPr>
              <w:pStyle w:val="TableContents"/>
              <w:widowControl w:val="false"/>
              <w:suppressLineNumbers/>
              <w:spacing w:before="0" w:after="200"/>
              <w:rPr/>
            </w:pPr>
            <w:r>
              <w:rPr/>
              <w:t>190</w:t>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2. Chi phí của HĐ SXKD</w:t>
            </w:r>
          </w:p>
        </w:tc>
        <w:tc>
          <w:tcPr>
            <w:tcW w:w="1121" w:type="dxa"/>
            <w:tcBorders/>
            <w:vAlign w:val="center"/>
          </w:tcPr>
          <w:p>
            <w:pPr>
              <w:pStyle w:val="TableContents"/>
              <w:spacing w:before="0" w:after="200"/>
              <w:rPr>
                <w:sz w:val="4"/>
                <w:szCs w:val="4"/>
              </w:rPr>
            </w:pPr>
            <w:r>
              <w:rPr>
                <w:sz w:val="4"/>
                <w:szCs w:val="4"/>
              </w:rPr>
            </w:r>
          </w:p>
        </w:tc>
        <w:tc>
          <w:tcPr>
            <w:tcW w:w="1143" w:type="dxa"/>
            <w:tcBorders/>
            <w:vAlign w:val="center"/>
          </w:tcPr>
          <w:p>
            <w:pPr>
              <w:pStyle w:val="TableContents"/>
              <w:spacing w:before="0" w:after="200"/>
              <w:rPr>
                <w:sz w:val="4"/>
                <w:szCs w:val="4"/>
              </w:rPr>
            </w:pPr>
            <w:r>
              <w:rPr>
                <w:sz w:val="4"/>
                <w:szCs w:val="4"/>
              </w:rPr>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a. Giá vốn hàng bán</w:t>
            </w:r>
          </w:p>
        </w:tc>
        <w:tc>
          <w:tcPr>
            <w:tcW w:w="1121" w:type="dxa"/>
            <w:tcBorders/>
            <w:vAlign w:val="center"/>
          </w:tcPr>
          <w:p>
            <w:pPr>
              <w:pStyle w:val="TableContents"/>
              <w:widowControl w:val="false"/>
              <w:suppressLineNumbers/>
              <w:spacing w:before="0" w:after="200"/>
              <w:rPr/>
            </w:pPr>
            <w:r>
              <w:rPr/>
              <w:t>105</w:t>
            </w:r>
          </w:p>
        </w:tc>
        <w:tc>
          <w:tcPr>
            <w:tcW w:w="1143" w:type="dxa"/>
            <w:tcBorders/>
            <w:vAlign w:val="center"/>
          </w:tcPr>
          <w:p>
            <w:pPr>
              <w:pStyle w:val="TableContents"/>
              <w:widowControl w:val="false"/>
              <w:suppressLineNumbers/>
              <w:spacing w:before="0" w:after="200"/>
              <w:rPr/>
            </w:pPr>
            <w:r>
              <w:rPr/>
              <w:t>105</w:t>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b. Chi phí bán hàng</w:t>
            </w:r>
          </w:p>
        </w:tc>
        <w:tc>
          <w:tcPr>
            <w:tcW w:w="1121" w:type="dxa"/>
            <w:tcBorders/>
            <w:vAlign w:val="center"/>
          </w:tcPr>
          <w:p>
            <w:pPr>
              <w:pStyle w:val="TableContents"/>
              <w:widowControl w:val="false"/>
              <w:suppressLineNumbers/>
              <w:spacing w:before="0" w:after="200"/>
              <w:rPr/>
            </w:pPr>
            <w:r>
              <w:rPr/>
              <w:t>30</w:t>
            </w:r>
          </w:p>
        </w:tc>
        <w:tc>
          <w:tcPr>
            <w:tcW w:w="1143" w:type="dxa"/>
            <w:tcBorders/>
            <w:vAlign w:val="center"/>
          </w:tcPr>
          <w:p>
            <w:pPr>
              <w:pStyle w:val="TableContents"/>
              <w:widowControl w:val="false"/>
              <w:suppressLineNumbers/>
              <w:spacing w:before="0" w:after="200"/>
              <w:rPr/>
            </w:pPr>
            <w:r>
              <w:rPr/>
              <w:t>30</w:t>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c. Chi phí quản lý doanh nghiệp</w:t>
            </w:r>
          </w:p>
        </w:tc>
        <w:tc>
          <w:tcPr>
            <w:tcW w:w="1121" w:type="dxa"/>
            <w:tcBorders/>
            <w:vAlign w:val="center"/>
          </w:tcPr>
          <w:p>
            <w:pPr>
              <w:pStyle w:val="TableContents"/>
              <w:widowControl w:val="false"/>
              <w:suppressLineNumbers/>
              <w:spacing w:before="0" w:after="200"/>
              <w:rPr/>
            </w:pPr>
            <w:r>
              <w:rPr/>
              <w:t>20</w:t>
            </w:r>
          </w:p>
        </w:tc>
        <w:tc>
          <w:tcPr>
            <w:tcW w:w="1143" w:type="dxa"/>
            <w:tcBorders/>
            <w:vAlign w:val="center"/>
          </w:tcPr>
          <w:p>
            <w:pPr>
              <w:pStyle w:val="TableContents"/>
              <w:widowControl w:val="false"/>
              <w:suppressLineNumbers/>
              <w:spacing w:before="0" w:after="200"/>
              <w:rPr/>
            </w:pPr>
            <w:r>
              <w:rPr/>
              <w:t>20</w:t>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3. Doanh thu hoạt động tài chính</w:t>
            </w:r>
          </w:p>
        </w:tc>
        <w:tc>
          <w:tcPr>
            <w:tcW w:w="1121" w:type="dxa"/>
            <w:tcBorders/>
            <w:vAlign w:val="center"/>
          </w:tcPr>
          <w:p>
            <w:pPr>
              <w:pStyle w:val="TableContents"/>
              <w:widowControl w:val="false"/>
              <w:suppressLineNumbers/>
              <w:spacing w:before="0" w:after="200"/>
              <w:rPr/>
            </w:pPr>
            <w:r>
              <w:rPr/>
              <w:t>2,5</w:t>
            </w:r>
          </w:p>
        </w:tc>
        <w:tc>
          <w:tcPr>
            <w:tcW w:w="1143" w:type="dxa"/>
            <w:tcBorders/>
            <w:vAlign w:val="center"/>
          </w:tcPr>
          <w:p>
            <w:pPr>
              <w:pStyle w:val="TableContents"/>
              <w:spacing w:before="0" w:after="200"/>
              <w:rPr>
                <w:sz w:val="4"/>
                <w:szCs w:val="4"/>
              </w:rPr>
            </w:pPr>
            <w:r>
              <w:rPr>
                <w:sz w:val="4"/>
                <w:szCs w:val="4"/>
              </w:rPr>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a. Lãi chênh lệch tỷ giá hối đoái do đánh giá các khoản nợ phải trả có gốc ngoại tệ</w:t>
            </w:r>
          </w:p>
        </w:tc>
        <w:tc>
          <w:tcPr>
            <w:tcW w:w="1121" w:type="dxa"/>
            <w:tcBorders/>
            <w:vAlign w:val="center"/>
          </w:tcPr>
          <w:p>
            <w:pPr>
              <w:pStyle w:val="TableContents"/>
              <w:widowControl w:val="false"/>
              <w:suppressLineNumbers/>
              <w:spacing w:before="0" w:after="200"/>
              <w:rPr/>
            </w:pPr>
            <w:r>
              <w:rPr/>
              <w:t>1</w:t>
            </w:r>
          </w:p>
        </w:tc>
        <w:tc>
          <w:tcPr>
            <w:tcW w:w="1143" w:type="dxa"/>
            <w:tcBorders/>
            <w:vAlign w:val="center"/>
          </w:tcPr>
          <w:p>
            <w:pPr>
              <w:pStyle w:val="TableContents"/>
              <w:spacing w:before="0" w:after="200"/>
              <w:rPr>
                <w:sz w:val="4"/>
                <w:szCs w:val="4"/>
              </w:rPr>
            </w:pPr>
            <w:r>
              <w:rPr>
                <w:sz w:val="4"/>
                <w:szCs w:val="4"/>
              </w:rPr>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b. Lãi chênh lệch tỷ giá hối đoái do đánh giá lại các khoản tiền tiền mặt, tiền gửi, tiền đang chuyển có gốc ngoại tệ cuối kỳ</w:t>
            </w:r>
          </w:p>
        </w:tc>
        <w:tc>
          <w:tcPr>
            <w:tcW w:w="1121" w:type="dxa"/>
            <w:tcBorders/>
            <w:vAlign w:val="center"/>
          </w:tcPr>
          <w:p>
            <w:pPr>
              <w:pStyle w:val="TableContents"/>
              <w:widowControl w:val="false"/>
              <w:suppressLineNumbers/>
              <w:spacing w:before="0" w:after="200"/>
              <w:rPr/>
            </w:pPr>
            <w:r>
              <w:rPr/>
              <w:t>1,5</w:t>
            </w:r>
          </w:p>
        </w:tc>
        <w:tc>
          <w:tcPr>
            <w:tcW w:w="1143" w:type="dxa"/>
            <w:tcBorders/>
            <w:vAlign w:val="center"/>
          </w:tcPr>
          <w:p>
            <w:pPr>
              <w:pStyle w:val="TableContents"/>
              <w:spacing w:before="0" w:after="200"/>
              <w:rPr>
                <w:sz w:val="4"/>
                <w:szCs w:val="4"/>
              </w:rPr>
            </w:pPr>
            <w:r>
              <w:rPr>
                <w:sz w:val="4"/>
                <w:szCs w:val="4"/>
              </w:rPr>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c. Thu nhập phát sinh từ hoạt động góp vốn liên doanh với Công ty B trong nước</w:t>
            </w:r>
          </w:p>
        </w:tc>
        <w:tc>
          <w:tcPr>
            <w:tcW w:w="1121" w:type="dxa"/>
            <w:tcBorders/>
            <w:vAlign w:val="center"/>
          </w:tcPr>
          <w:p>
            <w:pPr>
              <w:pStyle w:val="TableContents"/>
              <w:widowControl w:val="false"/>
              <w:suppressLineNumbers/>
              <w:spacing w:before="0" w:after="200"/>
              <w:rPr/>
            </w:pPr>
            <w:r>
              <w:rPr/>
              <w:t>5</w:t>
            </w:r>
          </w:p>
        </w:tc>
        <w:tc>
          <w:tcPr>
            <w:tcW w:w="1143" w:type="dxa"/>
            <w:tcBorders/>
            <w:vAlign w:val="center"/>
          </w:tcPr>
          <w:p>
            <w:pPr>
              <w:pStyle w:val="TableContents"/>
              <w:spacing w:before="0" w:after="200"/>
              <w:rPr>
                <w:sz w:val="4"/>
                <w:szCs w:val="4"/>
              </w:rPr>
            </w:pPr>
            <w:r>
              <w:rPr>
                <w:sz w:val="4"/>
                <w:szCs w:val="4"/>
              </w:rPr>
            </w:r>
          </w:p>
        </w:tc>
        <w:tc>
          <w:tcPr>
            <w:tcW w:w="1095" w:type="dxa"/>
            <w:tcBorders/>
            <w:vAlign w:val="center"/>
          </w:tcPr>
          <w:p>
            <w:pPr>
              <w:pStyle w:val="TableContents"/>
              <w:widowControl w:val="false"/>
              <w:suppressLineNumbers/>
              <w:spacing w:before="0" w:after="200"/>
              <w:rPr/>
            </w:pPr>
            <w:r>
              <w:rPr/>
              <w:t>5</w:t>
            </w:r>
          </w:p>
        </w:tc>
      </w:tr>
      <w:tr>
        <w:trPr/>
        <w:tc>
          <w:tcPr>
            <w:tcW w:w="5281" w:type="dxa"/>
            <w:tcBorders/>
            <w:vAlign w:val="center"/>
          </w:tcPr>
          <w:p>
            <w:pPr>
              <w:pStyle w:val="TableContents"/>
              <w:widowControl w:val="false"/>
              <w:suppressLineNumbers/>
              <w:spacing w:before="0" w:after="200"/>
              <w:rPr/>
            </w:pPr>
            <w:r>
              <w:rPr/>
              <w:t>d. Thu nhập phát sinh từ hoạt động kinh doanh tại nước ngoài sau khi nộp thuế TNDN tại nước ngoài</w:t>
            </w:r>
          </w:p>
        </w:tc>
        <w:tc>
          <w:tcPr>
            <w:tcW w:w="1121" w:type="dxa"/>
            <w:tcBorders/>
            <w:vAlign w:val="center"/>
          </w:tcPr>
          <w:p>
            <w:pPr>
              <w:pStyle w:val="TableContents"/>
              <w:widowControl w:val="false"/>
              <w:suppressLineNumbers/>
              <w:spacing w:before="0" w:after="200"/>
              <w:rPr/>
            </w:pPr>
            <w:r>
              <w:rPr/>
              <w:t>21,25</w:t>
            </w:r>
          </w:p>
        </w:tc>
        <w:tc>
          <w:tcPr>
            <w:tcW w:w="1143" w:type="dxa"/>
            <w:tcBorders/>
            <w:vAlign w:val="center"/>
          </w:tcPr>
          <w:p>
            <w:pPr>
              <w:pStyle w:val="TableContents"/>
              <w:spacing w:before="0" w:after="200"/>
              <w:rPr>
                <w:sz w:val="4"/>
                <w:szCs w:val="4"/>
              </w:rPr>
            </w:pPr>
            <w:r>
              <w:rPr>
                <w:sz w:val="4"/>
                <w:szCs w:val="4"/>
              </w:rPr>
            </w:r>
          </w:p>
        </w:tc>
        <w:tc>
          <w:tcPr>
            <w:tcW w:w="1095" w:type="dxa"/>
            <w:tcBorders/>
            <w:vAlign w:val="center"/>
          </w:tcPr>
          <w:p>
            <w:pPr>
              <w:pStyle w:val="TableContents"/>
              <w:widowControl w:val="false"/>
              <w:suppressLineNumbers/>
              <w:spacing w:before="0" w:after="200"/>
              <w:rPr/>
            </w:pPr>
            <w:r>
              <w:rPr/>
              <w:t>21,25</w:t>
            </w:r>
          </w:p>
        </w:tc>
      </w:tr>
      <w:tr>
        <w:trPr/>
        <w:tc>
          <w:tcPr>
            <w:tcW w:w="5281" w:type="dxa"/>
            <w:tcBorders/>
            <w:vAlign w:val="center"/>
          </w:tcPr>
          <w:p>
            <w:pPr>
              <w:pStyle w:val="TableContents"/>
              <w:widowControl w:val="false"/>
              <w:suppressLineNumbers/>
              <w:spacing w:before="0" w:after="200"/>
              <w:rPr/>
            </w:pPr>
            <w:r>
              <w:rPr/>
              <w:t>4. Chi phí hoạt động tài chính</w:t>
            </w:r>
          </w:p>
        </w:tc>
        <w:tc>
          <w:tcPr>
            <w:tcW w:w="1121" w:type="dxa"/>
            <w:tcBorders/>
            <w:vAlign w:val="center"/>
          </w:tcPr>
          <w:p>
            <w:pPr>
              <w:pStyle w:val="TableContents"/>
              <w:widowControl w:val="false"/>
              <w:suppressLineNumbers/>
              <w:spacing w:before="0" w:after="200"/>
              <w:rPr/>
            </w:pPr>
            <w:r>
              <w:rPr/>
              <w:t>3,5</w:t>
            </w:r>
          </w:p>
        </w:tc>
        <w:tc>
          <w:tcPr>
            <w:tcW w:w="1143" w:type="dxa"/>
            <w:tcBorders/>
            <w:vAlign w:val="center"/>
          </w:tcPr>
          <w:p>
            <w:pPr>
              <w:pStyle w:val="TableContents"/>
              <w:widowControl w:val="false"/>
              <w:suppressLineNumbers/>
              <w:spacing w:before="0" w:after="200"/>
              <w:rPr/>
            </w:pPr>
            <w:r>
              <w:rPr/>
              <w:t>3,5</w:t>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5. Thu nhập khác</w:t>
            </w:r>
          </w:p>
        </w:tc>
        <w:tc>
          <w:tcPr>
            <w:tcW w:w="1121" w:type="dxa"/>
            <w:tcBorders/>
            <w:vAlign w:val="center"/>
          </w:tcPr>
          <w:p>
            <w:pPr>
              <w:pStyle w:val="TableContents"/>
              <w:spacing w:before="0" w:after="200"/>
              <w:rPr>
                <w:sz w:val="4"/>
                <w:szCs w:val="4"/>
              </w:rPr>
            </w:pPr>
            <w:r>
              <w:rPr>
                <w:sz w:val="4"/>
                <w:szCs w:val="4"/>
              </w:rPr>
            </w:r>
          </w:p>
        </w:tc>
        <w:tc>
          <w:tcPr>
            <w:tcW w:w="1143" w:type="dxa"/>
            <w:tcBorders/>
            <w:vAlign w:val="center"/>
          </w:tcPr>
          <w:p>
            <w:pPr>
              <w:pStyle w:val="TableContents"/>
              <w:spacing w:before="0" w:after="200"/>
              <w:rPr>
                <w:sz w:val="4"/>
                <w:szCs w:val="4"/>
              </w:rPr>
            </w:pPr>
            <w:r>
              <w:rPr>
                <w:sz w:val="4"/>
                <w:szCs w:val="4"/>
              </w:rPr>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6. Chi phí khác</w:t>
            </w:r>
          </w:p>
        </w:tc>
        <w:tc>
          <w:tcPr>
            <w:tcW w:w="1121" w:type="dxa"/>
            <w:tcBorders/>
            <w:vAlign w:val="center"/>
          </w:tcPr>
          <w:p>
            <w:pPr>
              <w:pStyle w:val="TableContents"/>
              <w:widowControl w:val="false"/>
              <w:suppressLineNumbers/>
              <w:spacing w:before="0" w:after="200"/>
              <w:rPr/>
            </w:pPr>
            <w:r>
              <w:rPr/>
              <w:t>1</w:t>
            </w:r>
          </w:p>
        </w:tc>
        <w:tc>
          <w:tcPr>
            <w:tcW w:w="1143" w:type="dxa"/>
            <w:tcBorders/>
            <w:vAlign w:val="center"/>
          </w:tcPr>
          <w:p>
            <w:pPr>
              <w:pStyle w:val="TableContents"/>
              <w:widowControl w:val="false"/>
              <w:suppressLineNumbers/>
              <w:spacing w:before="0" w:after="200"/>
              <w:rPr/>
            </w:pPr>
            <w:r>
              <w:rPr/>
              <w:t>1</w:t>
            </w:r>
          </w:p>
        </w:tc>
        <w:tc>
          <w:tcPr>
            <w:tcW w:w="1095" w:type="dxa"/>
            <w:tcBorders/>
            <w:vAlign w:val="center"/>
          </w:tcPr>
          <w:p>
            <w:pPr>
              <w:pStyle w:val="TableContents"/>
              <w:spacing w:before="0" w:after="200"/>
              <w:rPr>
                <w:sz w:val="4"/>
                <w:szCs w:val="4"/>
              </w:rPr>
            </w:pPr>
            <w:r>
              <w:rPr>
                <w:sz w:val="4"/>
                <w:szCs w:val="4"/>
              </w:rPr>
            </w:r>
          </w:p>
        </w:tc>
      </w:tr>
      <w:tr>
        <w:trPr/>
        <w:tc>
          <w:tcPr>
            <w:tcW w:w="5281" w:type="dxa"/>
            <w:tcBorders/>
            <w:vAlign w:val="center"/>
          </w:tcPr>
          <w:p>
            <w:pPr>
              <w:pStyle w:val="TableContents"/>
              <w:widowControl w:val="false"/>
              <w:suppressLineNumbers/>
              <w:spacing w:before="0" w:after="200"/>
              <w:rPr/>
            </w:pPr>
            <w:r>
              <w:rPr/>
              <w:t>7. Lợi nhuận kế toán trước thuế TNDN</w:t>
            </w:r>
          </w:p>
        </w:tc>
        <w:tc>
          <w:tcPr>
            <w:tcW w:w="1121" w:type="dxa"/>
            <w:tcBorders/>
            <w:vAlign w:val="center"/>
          </w:tcPr>
          <w:p>
            <w:pPr>
              <w:pStyle w:val="TableContents"/>
              <w:widowControl w:val="false"/>
              <w:suppressLineNumbers/>
              <w:spacing w:before="0" w:after="200"/>
              <w:rPr/>
            </w:pPr>
            <w:r>
              <w:rPr/>
              <w:t>59,25</w:t>
            </w:r>
          </w:p>
        </w:tc>
        <w:tc>
          <w:tcPr>
            <w:tcW w:w="1143" w:type="dxa"/>
            <w:tcBorders/>
            <w:vAlign w:val="center"/>
          </w:tcPr>
          <w:p>
            <w:pPr>
              <w:pStyle w:val="TableContents"/>
              <w:widowControl w:val="false"/>
              <w:suppressLineNumbers/>
              <w:spacing w:before="0" w:after="200"/>
              <w:rPr/>
            </w:pPr>
            <w:r>
              <w:rPr/>
              <w:t>35</w:t>
            </w:r>
          </w:p>
        </w:tc>
        <w:tc>
          <w:tcPr>
            <w:tcW w:w="1095" w:type="dxa"/>
            <w:tcBorders/>
            <w:vAlign w:val="center"/>
          </w:tcPr>
          <w:p>
            <w:pPr>
              <w:pStyle w:val="TableContents"/>
              <w:widowControl w:val="false"/>
              <w:suppressLineNumbers/>
              <w:spacing w:before="0" w:after="200"/>
              <w:rPr/>
            </w:pPr>
            <w:r>
              <w:rPr/>
              <w:t>24,25</w:t>
            </w:r>
          </w:p>
        </w:tc>
      </w:tr>
    </w:tbl>
    <w:tbl>
      <w:tblPr>
        <w:tblW w:w="8640" w:type="dxa"/>
        <w:jc w:val="left"/>
        <w:tblInd w:w="28" w:type="dxa"/>
        <w:tblLayout w:type="fixed"/>
        <w:tblCellMar>
          <w:top w:w="28" w:type="dxa"/>
          <w:left w:w="28" w:type="dxa"/>
          <w:bottom w:w="28" w:type="dxa"/>
          <w:right w:w="28" w:type="dxa"/>
        </w:tblCellMar>
      </w:tblPr>
      <w:tblGrid>
        <w:gridCol w:w="5565"/>
        <w:gridCol w:w="1016"/>
        <w:gridCol w:w="1061"/>
        <w:gridCol w:w="998"/>
      </w:tblGrid>
      <w:tr>
        <w:trPr/>
        <w:tc>
          <w:tcPr>
            <w:tcW w:w="5565" w:type="dxa"/>
            <w:tcBorders/>
            <w:vAlign w:val="center"/>
          </w:tcPr>
          <w:p>
            <w:pPr>
              <w:pStyle w:val="TableHeading"/>
              <w:suppressLineNumbers/>
              <w:spacing w:before="0" w:after="200"/>
              <w:jc w:val="center"/>
              <w:rPr/>
            </w:pPr>
            <w:r>
              <w:rPr>
                <w:rStyle w:val="Strong"/>
                <w:b/>
                <w:bCs/>
              </w:rPr>
              <w:t>Chỉ tiêu</w:t>
            </w:r>
          </w:p>
        </w:tc>
        <w:tc>
          <w:tcPr>
            <w:tcW w:w="1016" w:type="dxa"/>
            <w:tcBorders/>
            <w:vAlign w:val="center"/>
          </w:tcPr>
          <w:p>
            <w:pPr>
              <w:pStyle w:val="TableHeading"/>
              <w:suppressLineNumbers/>
              <w:spacing w:before="0" w:after="200"/>
              <w:jc w:val="center"/>
              <w:rPr/>
            </w:pPr>
            <w:r>
              <w:rPr>
                <w:rStyle w:val="Strong"/>
                <w:b/>
                <w:bCs/>
              </w:rPr>
              <w:t>XÁC ĐỊNH TNCT</w:t>
            </w:r>
          </w:p>
        </w:tc>
        <w:tc>
          <w:tcPr>
            <w:tcW w:w="1061" w:type="dxa"/>
            <w:tcBorders/>
            <w:vAlign w:val="center"/>
          </w:tcPr>
          <w:p>
            <w:pPr>
              <w:pStyle w:val="TableHeading"/>
              <w:suppressLineNumbers/>
              <w:spacing w:before="0" w:after="200"/>
              <w:jc w:val="center"/>
              <w:rPr/>
            </w:pPr>
            <w:r>
              <w:rPr>
                <w:rStyle w:val="Strong"/>
                <w:b/>
                <w:bCs/>
              </w:rPr>
              <w:t>kinh doanh ô tô</w:t>
            </w:r>
          </w:p>
        </w:tc>
        <w:tc>
          <w:tcPr>
            <w:tcW w:w="998" w:type="dxa"/>
            <w:tcBorders/>
            <w:vAlign w:val="center"/>
          </w:tcPr>
          <w:p>
            <w:pPr>
              <w:pStyle w:val="TableHeading"/>
              <w:suppressLineNumbers/>
              <w:spacing w:before="0" w:after="200"/>
              <w:jc w:val="center"/>
              <w:rPr/>
            </w:pPr>
            <w:r>
              <w:rPr>
                <w:rStyle w:val="Strong"/>
                <w:b/>
                <w:bCs/>
              </w:rPr>
              <w:t>Thu nhập khác</w:t>
            </w:r>
          </w:p>
        </w:tc>
      </w:tr>
      <w:tr>
        <w:trPr/>
        <w:tc>
          <w:tcPr>
            <w:tcW w:w="5565" w:type="dxa"/>
            <w:tcBorders/>
            <w:vAlign w:val="center"/>
          </w:tcPr>
          <w:p>
            <w:pPr>
              <w:pStyle w:val="TableContents"/>
              <w:widowControl w:val="false"/>
              <w:suppressLineNumbers/>
              <w:spacing w:before="0" w:after="200"/>
              <w:rPr/>
            </w:pPr>
            <w:r>
              <w:rPr/>
              <w:t>1. Điều chỉnh tăng tổng LNTT TNDN</w:t>
            </w:r>
          </w:p>
        </w:tc>
        <w:tc>
          <w:tcPr>
            <w:tcW w:w="1016" w:type="dxa"/>
            <w:tcBorders/>
            <w:vAlign w:val="center"/>
          </w:tcPr>
          <w:p>
            <w:pPr>
              <w:pStyle w:val="TableContents"/>
              <w:spacing w:before="0" w:after="200"/>
              <w:rPr>
                <w:sz w:val="4"/>
                <w:szCs w:val="4"/>
              </w:rPr>
            </w:pPr>
            <w:r>
              <w:rPr>
                <w:sz w:val="4"/>
                <w:szCs w:val="4"/>
              </w:rPr>
            </w:r>
          </w:p>
        </w:tc>
        <w:tc>
          <w:tcPr>
            <w:tcW w:w="1061" w:type="dxa"/>
            <w:tcBorders/>
            <w:vAlign w:val="center"/>
          </w:tcPr>
          <w:p>
            <w:pPr>
              <w:pStyle w:val="TableContents"/>
              <w:spacing w:before="0" w:after="200"/>
              <w:rPr>
                <w:sz w:val="4"/>
                <w:szCs w:val="4"/>
              </w:rPr>
            </w:pPr>
            <w:r>
              <w:rPr>
                <w:sz w:val="4"/>
                <w:szCs w:val="4"/>
              </w:rPr>
            </w:r>
          </w:p>
        </w:tc>
        <w:tc>
          <w:tcPr>
            <w:tcW w:w="998" w:type="dxa"/>
            <w:tcBorders/>
            <w:vAlign w:val="center"/>
          </w:tcPr>
          <w:p>
            <w:pPr>
              <w:pStyle w:val="TableContents"/>
              <w:spacing w:before="0" w:after="200"/>
              <w:rPr>
                <w:sz w:val="4"/>
                <w:szCs w:val="4"/>
              </w:rPr>
            </w:pPr>
            <w:r>
              <w:rPr>
                <w:sz w:val="4"/>
                <w:szCs w:val="4"/>
              </w:rPr>
            </w:r>
          </w:p>
        </w:tc>
      </w:tr>
      <w:tr>
        <w:trPr/>
        <w:tc>
          <w:tcPr>
            <w:tcW w:w="5565" w:type="dxa"/>
            <w:tcBorders/>
            <w:vAlign w:val="center"/>
          </w:tcPr>
          <w:p>
            <w:pPr>
              <w:pStyle w:val="TableContents"/>
              <w:widowControl w:val="false"/>
              <w:suppressLineNumbers/>
              <w:spacing w:before="0" w:after="200"/>
              <w:rPr/>
            </w:pPr>
            <w:r>
              <w:rPr/>
              <w:t>a. Chi phí không được trừ: Chi phí sửa chữa mặt bằng trong năm 2022 chưa hoàn thành, bàn giao, chưa được ghi nhận chi phí</w:t>
            </w:r>
          </w:p>
        </w:tc>
        <w:tc>
          <w:tcPr>
            <w:tcW w:w="1016" w:type="dxa"/>
            <w:tcBorders/>
            <w:vAlign w:val="center"/>
          </w:tcPr>
          <w:p>
            <w:pPr>
              <w:pStyle w:val="TableContents"/>
              <w:widowControl w:val="false"/>
              <w:suppressLineNumbers/>
              <w:spacing w:before="0" w:after="200"/>
              <w:rPr/>
            </w:pPr>
            <w:r>
              <w:rPr/>
              <w:t>2,5</w:t>
            </w:r>
          </w:p>
        </w:tc>
        <w:tc>
          <w:tcPr>
            <w:tcW w:w="1061" w:type="dxa"/>
            <w:tcBorders/>
            <w:vAlign w:val="center"/>
          </w:tcPr>
          <w:p>
            <w:pPr>
              <w:pStyle w:val="TableContents"/>
              <w:widowControl w:val="false"/>
              <w:suppressLineNumbers/>
              <w:spacing w:before="0" w:after="200"/>
              <w:rPr/>
            </w:pPr>
            <w:r>
              <w:rPr/>
              <w:t>2,5</w:t>
            </w:r>
          </w:p>
        </w:tc>
        <w:tc>
          <w:tcPr>
            <w:tcW w:w="998" w:type="dxa"/>
            <w:tcBorders/>
            <w:vAlign w:val="center"/>
          </w:tcPr>
          <w:p>
            <w:pPr>
              <w:pStyle w:val="TableContents"/>
              <w:spacing w:before="0" w:after="200"/>
              <w:rPr>
                <w:sz w:val="4"/>
                <w:szCs w:val="4"/>
              </w:rPr>
            </w:pPr>
            <w:r>
              <w:rPr>
                <w:sz w:val="4"/>
                <w:szCs w:val="4"/>
              </w:rPr>
            </w:r>
          </w:p>
        </w:tc>
      </w:tr>
      <w:tr>
        <w:trPr/>
        <w:tc>
          <w:tcPr>
            <w:tcW w:w="5565" w:type="dxa"/>
            <w:tcBorders/>
            <w:vAlign w:val="center"/>
          </w:tcPr>
          <w:p>
            <w:pPr>
              <w:pStyle w:val="TableContents"/>
              <w:widowControl w:val="false"/>
              <w:suppressLineNumbers/>
              <w:spacing w:before="0" w:after="200"/>
              <w:rPr/>
            </w:pPr>
            <w:r>
              <w:rPr/>
              <w:t>b. Thuế thu nhập đã nộp cho phần thu nhập nhận được ở nước ngoài = 21,25/(1-15%)*15% = 3,75</w:t>
            </w:r>
          </w:p>
        </w:tc>
        <w:tc>
          <w:tcPr>
            <w:tcW w:w="1016" w:type="dxa"/>
            <w:tcBorders/>
            <w:vAlign w:val="center"/>
          </w:tcPr>
          <w:p>
            <w:pPr>
              <w:pStyle w:val="TableContents"/>
              <w:widowControl w:val="false"/>
              <w:suppressLineNumbers/>
              <w:spacing w:before="0" w:after="200"/>
              <w:rPr/>
            </w:pPr>
            <w:r>
              <w:rPr/>
              <w:t>3,75</w:t>
            </w:r>
          </w:p>
        </w:tc>
        <w:tc>
          <w:tcPr>
            <w:tcW w:w="1061" w:type="dxa"/>
            <w:tcBorders/>
            <w:vAlign w:val="center"/>
          </w:tcPr>
          <w:p>
            <w:pPr>
              <w:pStyle w:val="TableContents"/>
              <w:spacing w:before="0" w:after="200"/>
              <w:rPr>
                <w:sz w:val="4"/>
                <w:szCs w:val="4"/>
              </w:rPr>
            </w:pPr>
            <w:r>
              <w:rPr>
                <w:sz w:val="4"/>
                <w:szCs w:val="4"/>
              </w:rPr>
            </w:r>
          </w:p>
        </w:tc>
        <w:tc>
          <w:tcPr>
            <w:tcW w:w="998" w:type="dxa"/>
            <w:tcBorders/>
            <w:vAlign w:val="center"/>
          </w:tcPr>
          <w:p>
            <w:pPr>
              <w:pStyle w:val="TableContents"/>
              <w:widowControl w:val="false"/>
              <w:suppressLineNumbers/>
              <w:spacing w:before="0" w:after="200"/>
              <w:rPr/>
            </w:pPr>
            <w:r>
              <w:rPr/>
              <w:t>3,75</w:t>
            </w:r>
          </w:p>
        </w:tc>
      </w:tr>
      <w:tr>
        <w:trPr/>
        <w:tc>
          <w:tcPr>
            <w:tcW w:w="5565" w:type="dxa"/>
            <w:tcBorders/>
            <w:vAlign w:val="center"/>
          </w:tcPr>
          <w:p>
            <w:pPr>
              <w:pStyle w:val="TableContents"/>
              <w:widowControl w:val="false"/>
              <w:suppressLineNumbers/>
              <w:spacing w:before="0" w:after="200"/>
              <w:rPr/>
            </w:pPr>
            <w:r>
              <w:rPr/>
              <w:t>2. Điều chỉnh giảm tổng LNTT TNDN: Lãi chênh lệch tỷ giá hối đoái do đánh giá lại các khoản tiền tiền mặt, tiền gửi, tiền đang chuyển có gốc ngoại tệ cuối kỳ</w:t>
            </w:r>
          </w:p>
        </w:tc>
        <w:tc>
          <w:tcPr>
            <w:tcW w:w="1016" w:type="dxa"/>
            <w:tcBorders/>
            <w:vAlign w:val="center"/>
          </w:tcPr>
          <w:p>
            <w:pPr>
              <w:pStyle w:val="TableContents"/>
              <w:widowControl w:val="false"/>
              <w:suppressLineNumbers/>
              <w:spacing w:before="0" w:after="200"/>
              <w:rPr/>
            </w:pPr>
            <w:r>
              <w:rPr/>
              <w:t>1,5</w:t>
            </w:r>
          </w:p>
        </w:tc>
        <w:tc>
          <w:tcPr>
            <w:tcW w:w="1061" w:type="dxa"/>
            <w:tcBorders/>
            <w:vAlign w:val="center"/>
          </w:tcPr>
          <w:p>
            <w:pPr>
              <w:pStyle w:val="TableContents"/>
              <w:widowControl w:val="false"/>
              <w:suppressLineNumbers/>
              <w:spacing w:before="0" w:after="200"/>
              <w:rPr/>
            </w:pPr>
            <w:r>
              <w:rPr/>
              <w:t>1,5</w:t>
            </w:r>
          </w:p>
        </w:tc>
        <w:tc>
          <w:tcPr>
            <w:tcW w:w="998" w:type="dxa"/>
            <w:tcBorders/>
            <w:vAlign w:val="center"/>
          </w:tcPr>
          <w:p>
            <w:pPr>
              <w:pStyle w:val="TableContents"/>
              <w:spacing w:before="0" w:after="200"/>
              <w:rPr>
                <w:sz w:val="4"/>
                <w:szCs w:val="4"/>
              </w:rPr>
            </w:pPr>
            <w:r>
              <w:rPr>
                <w:sz w:val="4"/>
                <w:szCs w:val="4"/>
              </w:rPr>
            </w:r>
          </w:p>
        </w:tc>
      </w:tr>
      <w:tr>
        <w:trPr/>
        <w:tc>
          <w:tcPr>
            <w:tcW w:w="5565" w:type="dxa"/>
            <w:tcBorders/>
            <w:vAlign w:val="center"/>
          </w:tcPr>
          <w:p>
            <w:pPr>
              <w:pStyle w:val="TableContents"/>
              <w:widowControl w:val="false"/>
              <w:suppressLineNumbers/>
              <w:spacing w:before="0" w:after="200"/>
              <w:rPr/>
            </w:pPr>
            <w:r>
              <w:rPr/>
              <w:t>3. TNCT</w:t>
            </w:r>
          </w:p>
        </w:tc>
        <w:tc>
          <w:tcPr>
            <w:tcW w:w="1016" w:type="dxa"/>
            <w:tcBorders/>
            <w:vAlign w:val="center"/>
          </w:tcPr>
          <w:p>
            <w:pPr>
              <w:pStyle w:val="TableContents"/>
              <w:widowControl w:val="false"/>
              <w:suppressLineNumbers/>
              <w:spacing w:before="0" w:after="200"/>
              <w:rPr/>
            </w:pPr>
            <w:r>
              <w:rPr/>
              <w:t>64</w:t>
            </w:r>
          </w:p>
        </w:tc>
        <w:tc>
          <w:tcPr>
            <w:tcW w:w="1061" w:type="dxa"/>
            <w:tcBorders/>
            <w:vAlign w:val="center"/>
          </w:tcPr>
          <w:p>
            <w:pPr>
              <w:pStyle w:val="TableContents"/>
              <w:widowControl w:val="false"/>
              <w:suppressLineNumbers/>
              <w:spacing w:before="0" w:after="200"/>
              <w:rPr/>
            </w:pPr>
            <w:r>
              <w:rPr/>
              <w:t>36</w:t>
            </w:r>
          </w:p>
        </w:tc>
        <w:tc>
          <w:tcPr>
            <w:tcW w:w="998" w:type="dxa"/>
            <w:tcBorders/>
            <w:vAlign w:val="center"/>
          </w:tcPr>
          <w:p>
            <w:pPr>
              <w:pStyle w:val="TableContents"/>
              <w:widowControl w:val="false"/>
              <w:suppressLineNumbers/>
              <w:spacing w:before="0" w:after="200"/>
              <w:rPr/>
            </w:pPr>
            <w:r>
              <w:rPr/>
              <w:t>28</w:t>
            </w:r>
          </w:p>
        </w:tc>
      </w:tr>
    </w:tbl>
    <w:tbl>
      <w:tblPr>
        <w:tblW w:w="8640" w:type="dxa"/>
        <w:jc w:val="left"/>
        <w:tblInd w:w="28" w:type="dxa"/>
        <w:tblLayout w:type="fixed"/>
        <w:tblCellMar>
          <w:top w:w="28" w:type="dxa"/>
          <w:left w:w="28" w:type="dxa"/>
          <w:bottom w:w="28" w:type="dxa"/>
          <w:right w:w="28" w:type="dxa"/>
        </w:tblCellMar>
      </w:tblPr>
      <w:tblGrid>
        <w:gridCol w:w="4666"/>
        <w:gridCol w:w="1246"/>
        <w:gridCol w:w="1051"/>
        <w:gridCol w:w="1677"/>
      </w:tblGrid>
      <w:tr>
        <w:trPr/>
        <w:tc>
          <w:tcPr>
            <w:tcW w:w="4666" w:type="dxa"/>
            <w:tcBorders/>
            <w:vAlign w:val="center"/>
          </w:tcPr>
          <w:p>
            <w:pPr>
              <w:pStyle w:val="TableHeading"/>
              <w:suppressLineNumbers/>
              <w:spacing w:before="0" w:after="200"/>
              <w:jc w:val="center"/>
              <w:rPr/>
            </w:pPr>
            <w:r>
              <w:rPr>
                <w:rStyle w:val="Strong"/>
                <w:b/>
                <w:bCs/>
              </w:rPr>
              <w:t>Chỉ tiêu</w:t>
            </w:r>
          </w:p>
        </w:tc>
        <w:tc>
          <w:tcPr>
            <w:tcW w:w="1246" w:type="dxa"/>
            <w:tcBorders/>
            <w:vAlign w:val="center"/>
          </w:tcPr>
          <w:p>
            <w:pPr>
              <w:pStyle w:val="TableHeading"/>
              <w:suppressLineNumbers/>
              <w:spacing w:before="0" w:after="200"/>
              <w:jc w:val="center"/>
              <w:rPr/>
            </w:pPr>
            <w:r>
              <w:rPr>
                <w:rStyle w:val="Strong"/>
                <w:b/>
                <w:bCs/>
              </w:rPr>
              <w:t>THUẾ TNDN PHẢI NỘP</w:t>
            </w:r>
          </w:p>
        </w:tc>
        <w:tc>
          <w:tcPr>
            <w:tcW w:w="1051" w:type="dxa"/>
            <w:tcBorders/>
            <w:vAlign w:val="center"/>
          </w:tcPr>
          <w:p>
            <w:pPr>
              <w:pStyle w:val="TableHeading"/>
              <w:suppressLineNumbers/>
              <w:spacing w:before="0" w:after="200"/>
              <w:jc w:val="center"/>
              <w:rPr/>
            </w:pPr>
            <w:r>
              <w:rPr>
                <w:rStyle w:val="Strong"/>
                <w:b/>
                <w:bCs/>
              </w:rPr>
              <w:t>kinh doanh ô tô</w:t>
            </w:r>
          </w:p>
        </w:tc>
        <w:tc>
          <w:tcPr>
            <w:tcW w:w="1677" w:type="dxa"/>
            <w:tcBorders/>
            <w:vAlign w:val="center"/>
          </w:tcPr>
          <w:p>
            <w:pPr>
              <w:pStyle w:val="TableHeading"/>
              <w:suppressLineNumbers/>
              <w:spacing w:before="0" w:after="200"/>
              <w:jc w:val="center"/>
              <w:rPr/>
            </w:pPr>
            <w:r>
              <w:rPr>
                <w:rStyle w:val="Strong"/>
                <w:b/>
                <w:bCs/>
              </w:rPr>
              <w:t>Thu nhập khác</w:t>
            </w:r>
          </w:p>
        </w:tc>
      </w:tr>
      <w:tr>
        <w:trPr/>
        <w:tc>
          <w:tcPr>
            <w:tcW w:w="4666" w:type="dxa"/>
            <w:tcBorders/>
            <w:vAlign w:val="center"/>
          </w:tcPr>
          <w:p>
            <w:pPr>
              <w:pStyle w:val="TableContents"/>
              <w:widowControl w:val="false"/>
              <w:suppressLineNumbers/>
              <w:spacing w:before="0" w:after="200"/>
              <w:rPr/>
            </w:pPr>
            <w:r>
              <w:rPr/>
              <w:t>1. TNCT</w:t>
            </w:r>
          </w:p>
        </w:tc>
        <w:tc>
          <w:tcPr>
            <w:tcW w:w="1246" w:type="dxa"/>
            <w:tcBorders/>
            <w:vAlign w:val="center"/>
          </w:tcPr>
          <w:p>
            <w:pPr>
              <w:pStyle w:val="TableContents"/>
              <w:widowControl w:val="false"/>
              <w:suppressLineNumbers/>
              <w:spacing w:before="0" w:after="200"/>
              <w:rPr/>
            </w:pPr>
            <w:r>
              <w:rPr/>
              <w:t>64</w:t>
            </w:r>
          </w:p>
        </w:tc>
        <w:tc>
          <w:tcPr>
            <w:tcW w:w="1051" w:type="dxa"/>
            <w:tcBorders/>
            <w:vAlign w:val="center"/>
          </w:tcPr>
          <w:p>
            <w:pPr>
              <w:pStyle w:val="TableContents"/>
              <w:widowControl w:val="false"/>
              <w:suppressLineNumbers/>
              <w:spacing w:before="0" w:after="200"/>
              <w:rPr/>
            </w:pPr>
            <w:r>
              <w:rPr/>
              <w:t>36</w:t>
            </w:r>
          </w:p>
        </w:tc>
        <w:tc>
          <w:tcPr>
            <w:tcW w:w="1677" w:type="dxa"/>
            <w:tcBorders/>
            <w:vAlign w:val="center"/>
          </w:tcPr>
          <w:p>
            <w:pPr>
              <w:pStyle w:val="TableContents"/>
              <w:widowControl w:val="false"/>
              <w:suppressLineNumbers/>
              <w:spacing w:before="0" w:after="200"/>
              <w:rPr/>
            </w:pPr>
            <w:r>
              <w:rPr/>
              <w:t>28</w:t>
            </w:r>
          </w:p>
        </w:tc>
      </w:tr>
      <w:tr>
        <w:trPr/>
        <w:tc>
          <w:tcPr>
            <w:tcW w:w="4666" w:type="dxa"/>
            <w:tcBorders/>
            <w:vAlign w:val="center"/>
          </w:tcPr>
          <w:p>
            <w:pPr>
              <w:pStyle w:val="TableContents"/>
              <w:widowControl w:val="false"/>
              <w:suppressLineNumbers/>
              <w:spacing w:before="0" w:after="200"/>
              <w:rPr/>
            </w:pPr>
            <w:r>
              <w:rPr/>
              <w:t>2. TN miễn thuế: Thu nhập phát sinh từ hoạt động góp vốn liên doanh với Công ty B trong nước được chia sau khi đã nộp thuế TNDN</w:t>
            </w:r>
          </w:p>
        </w:tc>
        <w:tc>
          <w:tcPr>
            <w:tcW w:w="1246" w:type="dxa"/>
            <w:tcBorders/>
            <w:vAlign w:val="center"/>
          </w:tcPr>
          <w:p>
            <w:pPr>
              <w:pStyle w:val="TableContents"/>
              <w:widowControl w:val="false"/>
              <w:suppressLineNumbers/>
              <w:spacing w:before="0" w:after="200"/>
              <w:rPr/>
            </w:pPr>
            <w:r>
              <w:rPr/>
              <w:t>5</w:t>
            </w:r>
          </w:p>
        </w:tc>
        <w:tc>
          <w:tcPr>
            <w:tcW w:w="1051" w:type="dxa"/>
            <w:tcBorders/>
            <w:vAlign w:val="center"/>
          </w:tcPr>
          <w:p>
            <w:pPr>
              <w:pStyle w:val="TableContents"/>
              <w:spacing w:before="0" w:after="200"/>
              <w:rPr>
                <w:sz w:val="4"/>
                <w:szCs w:val="4"/>
              </w:rPr>
            </w:pPr>
            <w:r>
              <w:rPr>
                <w:sz w:val="4"/>
                <w:szCs w:val="4"/>
              </w:rPr>
            </w:r>
          </w:p>
        </w:tc>
        <w:tc>
          <w:tcPr>
            <w:tcW w:w="1677" w:type="dxa"/>
            <w:tcBorders/>
            <w:vAlign w:val="center"/>
          </w:tcPr>
          <w:p>
            <w:pPr>
              <w:pStyle w:val="TableContents"/>
              <w:widowControl w:val="false"/>
              <w:suppressLineNumbers/>
              <w:spacing w:before="0" w:after="200"/>
              <w:rPr/>
            </w:pPr>
            <w:r>
              <w:rPr/>
              <w:t>5</w:t>
            </w:r>
          </w:p>
        </w:tc>
      </w:tr>
      <w:tr>
        <w:trPr/>
        <w:tc>
          <w:tcPr>
            <w:tcW w:w="4666" w:type="dxa"/>
            <w:tcBorders/>
            <w:vAlign w:val="center"/>
          </w:tcPr>
          <w:p>
            <w:pPr>
              <w:pStyle w:val="TableContents"/>
              <w:widowControl w:val="false"/>
              <w:suppressLineNumbers/>
              <w:spacing w:before="0" w:after="200"/>
              <w:rPr/>
            </w:pPr>
            <w:r>
              <w:rPr/>
              <w:t>3. Chuyển lỗ và bù trừ lãi lỗ</w:t>
            </w:r>
          </w:p>
        </w:tc>
        <w:tc>
          <w:tcPr>
            <w:tcW w:w="1246" w:type="dxa"/>
            <w:tcBorders/>
            <w:vAlign w:val="center"/>
          </w:tcPr>
          <w:p>
            <w:pPr>
              <w:pStyle w:val="TableContents"/>
              <w:widowControl w:val="false"/>
              <w:suppressLineNumbers/>
              <w:spacing w:before="0" w:after="200"/>
              <w:rPr/>
            </w:pPr>
            <w:r>
              <w:rPr/>
              <w:t>12</w:t>
            </w:r>
          </w:p>
        </w:tc>
        <w:tc>
          <w:tcPr>
            <w:tcW w:w="1051" w:type="dxa"/>
            <w:tcBorders/>
            <w:vAlign w:val="center"/>
          </w:tcPr>
          <w:p>
            <w:pPr>
              <w:pStyle w:val="TableContents"/>
              <w:widowControl w:val="false"/>
              <w:suppressLineNumbers/>
              <w:spacing w:before="0" w:after="200"/>
              <w:rPr/>
            </w:pPr>
            <w:r>
              <w:rPr/>
              <w:t>6</w:t>
            </w:r>
          </w:p>
        </w:tc>
        <w:tc>
          <w:tcPr>
            <w:tcW w:w="1677" w:type="dxa"/>
            <w:tcBorders/>
            <w:vAlign w:val="center"/>
          </w:tcPr>
          <w:p>
            <w:pPr>
              <w:pStyle w:val="TableContents"/>
              <w:widowControl w:val="false"/>
              <w:suppressLineNumbers/>
              <w:spacing w:before="0" w:after="200"/>
              <w:rPr/>
            </w:pPr>
            <w:r>
              <w:rPr/>
              <w:t>6</w:t>
            </w:r>
          </w:p>
        </w:tc>
      </w:tr>
      <w:tr>
        <w:trPr/>
        <w:tc>
          <w:tcPr>
            <w:tcW w:w="4666" w:type="dxa"/>
            <w:tcBorders/>
            <w:vAlign w:val="center"/>
          </w:tcPr>
          <w:p>
            <w:pPr>
              <w:pStyle w:val="TableContents"/>
              <w:widowControl w:val="false"/>
              <w:suppressLineNumbers/>
              <w:spacing w:before="0" w:after="200"/>
              <w:rPr/>
            </w:pPr>
            <w:r>
              <w:rPr/>
              <w:t>4. TNTT</w:t>
            </w:r>
          </w:p>
        </w:tc>
        <w:tc>
          <w:tcPr>
            <w:tcW w:w="1246" w:type="dxa"/>
            <w:tcBorders/>
            <w:vAlign w:val="center"/>
          </w:tcPr>
          <w:p>
            <w:pPr>
              <w:pStyle w:val="TableContents"/>
              <w:widowControl w:val="false"/>
              <w:suppressLineNumbers/>
              <w:spacing w:before="0" w:after="200"/>
              <w:rPr/>
            </w:pPr>
            <w:r>
              <w:rPr/>
              <w:t>47</w:t>
            </w:r>
          </w:p>
        </w:tc>
        <w:tc>
          <w:tcPr>
            <w:tcW w:w="1051" w:type="dxa"/>
            <w:tcBorders/>
            <w:vAlign w:val="center"/>
          </w:tcPr>
          <w:p>
            <w:pPr>
              <w:pStyle w:val="TableContents"/>
              <w:widowControl w:val="false"/>
              <w:suppressLineNumbers/>
              <w:spacing w:before="0" w:after="200"/>
              <w:rPr/>
            </w:pPr>
            <w:r>
              <w:rPr/>
              <w:t>30</w:t>
            </w:r>
          </w:p>
        </w:tc>
        <w:tc>
          <w:tcPr>
            <w:tcW w:w="1677" w:type="dxa"/>
            <w:tcBorders/>
            <w:vAlign w:val="center"/>
          </w:tcPr>
          <w:p>
            <w:pPr>
              <w:pStyle w:val="TableContents"/>
              <w:widowControl w:val="false"/>
              <w:suppressLineNumbers/>
              <w:spacing w:before="0" w:after="200"/>
              <w:rPr/>
            </w:pPr>
            <w:r>
              <w:rPr/>
              <w:t>17</w:t>
            </w:r>
          </w:p>
        </w:tc>
      </w:tr>
      <w:tr>
        <w:trPr/>
        <w:tc>
          <w:tcPr>
            <w:tcW w:w="4666" w:type="dxa"/>
            <w:tcBorders/>
            <w:vAlign w:val="center"/>
          </w:tcPr>
          <w:p>
            <w:pPr>
              <w:pStyle w:val="TableContents"/>
              <w:widowControl w:val="false"/>
              <w:suppressLineNumbers/>
              <w:spacing w:before="0" w:after="200"/>
              <w:rPr/>
            </w:pPr>
            <w:r>
              <w:rPr/>
              <w:t>9. Thuế TNDN phải nộp trong kỳ (20%)</w:t>
            </w:r>
          </w:p>
        </w:tc>
        <w:tc>
          <w:tcPr>
            <w:tcW w:w="1246" w:type="dxa"/>
            <w:tcBorders/>
            <w:vAlign w:val="center"/>
          </w:tcPr>
          <w:p>
            <w:pPr>
              <w:pStyle w:val="TableContents"/>
              <w:widowControl w:val="false"/>
              <w:suppressLineNumbers/>
              <w:spacing w:before="0" w:after="200"/>
              <w:rPr/>
            </w:pPr>
            <w:r>
              <w:rPr/>
              <w:t>9,4</w:t>
            </w:r>
          </w:p>
        </w:tc>
        <w:tc>
          <w:tcPr>
            <w:tcW w:w="1051" w:type="dxa"/>
            <w:tcBorders/>
            <w:vAlign w:val="center"/>
          </w:tcPr>
          <w:p>
            <w:pPr>
              <w:pStyle w:val="TableContents"/>
              <w:widowControl w:val="false"/>
              <w:suppressLineNumbers/>
              <w:spacing w:before="0" w:after="200"/>
              <w:rPr/>
            </w:pPr>
            <w:r>
              <w:rPr/>
              <w:t>6</w:t>
            </w:r>
          </w:p>
        </w:tc>
        <w:tc>
          <w:tcPr>
            <w:tcW w:w="1677" w:type="dxa"/>
            <w:tcBorders/>
            <w:vAlign w:val="center"/>
          </w:tcPr>
          <w:p>
            <w:pPr>
              <w:pStyle w:val="TableContents"/>
              <w:widowControl w:val="false"/>
              <w:suppressLineNumbers/>
              <w:spacing w:before="0" w:after="200"/>
              <w:rPr/>
            </w:pPr>
            <w:r>
              <w:rPr/>
              <w:t>3,4</w:t>
            </w:r>
          </w:p>
        </w:tc>
      </w:tr>
      <w:tr>
        <w:trPr/>
        <w:tc>
          <w:tcPr>
            <w:tcW w:w="4666" w:type="dxa"/>
            <w:tcBorders/>
            <w:vAlign w:val="center"/>
          </w:tcPr>
          <w:p>
            <w:pPr>
              <w:pStyle w:val="TableContents"/>
              <w:widowControl w:val="false"/>
              <w:suppressLineNumbers/>
              <w:spacing w:before="0" w:after="200"/>
              <w:rPr/>
            </w:pPr>
            <w:r>
              <w:rPr/>
              <w:t>10. Số thuế TNDN được trừ với thu nhập ở nước ngoài = min(21,25/(1-15%)*20%; 21,25/(1-15%)*15%) = 3,75</w:t>
            </w:r>
          </w:p>
        </w:tc>
        <w:tc>
          <w:tcPr>
            <w:tcW w:w="1246" w:type="dxa"/>
            <w:tcBorders/>
            <w:vAlign w:val="center"/>
          </w:tcPr>
          <w:p>
            <w:pPr>
              <w:pStyle w:val="TableContents"/>
              <w:widowControl w:val="false"/>
              <w:suppressLineNumbers/>
              <w:spacing w:before="0" w:after="200"/>
              <w:rPr/>
            </w:pPr>
            <w:r>
              <w:rPr/>
              <w:t>3,75</w:t>
            </w:r>
          </w:p>
        </w:tc>
        <w:tc>
          <w:tcPr>
            <w:tcW w:w="1051" w:type="dxa"/>
            <w:tcBorders/>
            <w:vAlign w:val="center"/>
          </w:tcPr>
          <w:p>
            <w:pPr>
              <w:pStyle w:val="TableContents"/>
              <w:spacing w:before="0" w:after="200"/>
              <w:rPr>
                <w:sz w:val="4"/>
                <w:szCs w:val="4"/>
              </w:rPr>
            </w:pPr>
            <w:r>
              <w:rPr>
                <w:sz w:val="4"/>
                <w:szCs w:val="4"/>
              </w:rPr>
            </w:r>
          </w:p>
        </w:tc>
        <w:tc>
          <w:tcPr>
            <w:tcW w:w="1677" w:type="dxa"/>
            <w:tcBorders/>
            <w:vAlign w:val="center"/>
          </w:tcPr>
          <w:p>
            <w:pPr>
              <w:pStyle w:val="TableContents"/>
              <w:widowControl w:val="false"/>
              <w:suppressLineNumbers/>
              <w:spacing w:before="0" w:after="200"/>
              <w:rPr/>
            </w:pPr>
            <w:r>
              <w:rPr/>
              <w:t>3,75</w:t>
            </w:r>
          </w:p>
        </w:tc>
      </w:tr>
      <w:tr>
        <w:trPr/>
        <w:tc>
          <w:tcPr>
            <w:tcW w:w="4666" w:type="dxa"/>
            <w:tcBorders/>
            <w:vAlign w:val="center"/>
          </w:tcPr>
          <w:p>
            <w:pPr>
              <w:pStyle w:val="TableContents"/>
              <w:widowControl w:val="false"/>
              <w:suppressLineNumbers/>
              <w:spacing w:before="0" w:after="200"/>
              <w:rPr/>
            </w:pPr>
            <w:r>
              <w:rPr/>
              <w:t>11. Số thuế TNDN đã tạm nộp</w:t>
            </w:r>
          </w:p>
        </w:tc>
        <w:tc>
          <w:tcPr>
            <w:tcW w:w="1246" w:type="dxa"/>
            <w:tcBorders/>
            <w:vAlign w:val="center"/>
          </w:tcPr>
          <w:p>
            <w:pPr>
              <w:pStyle w:val="TableContents"/>
              <w:widowControl w:val="false"/>
              <w:suppressLineNumbers/>
              <w:spacing w:before="0" w:after="200"/>
              <w:rPr/>
            </w:pPr>
            <w:r>
              <w:rPr/>
              <w:t>5</w:t>
            </w:r>
          </w:p>
        </w:tc>
        <w:tc>
          <w:tcPr>
            <w:tcW w:w="1051" w:type="dxa"/>
            <w:tcBorders/>
            <w:vAlign w:val="center"/>
          </w:tcPr>
          <w:p>
            <w:pPr>
              <w:pStyle w:val="TableContents"/>
              <w:spacing w:before="0" w:after="200"/>
              <w:rPr>
                <w:sz w:val="4"/>
                <w:szCs w:val="4"/>
              </w:rPr>
            </w:pPr>
            <w:r>
              <w:rPr>
                <w:sz w:val="4"/>
                <w:szCs w:val="4"/>
              </w:rPr>
            </w:r>
          </w:p>
        </w:tc>
        <w:tc>
          <w:tcPr>
            <w:tcW w:w="1677" w:type="dxa"/>
            <w:tcBorders/>
            <w:vAlign w:val="center"/>
          </w:tcPr>
          <w:p>
            <w:pPr>
              <w:pStyle w:val="TableContents"/>
              <w:spacing w:before="0" w:after="200"/>
              <w:rPr>
                <w:sz w:val="4"/>
                <w:szCs w:val="4"/>
              </w:rPr>
            </w:pPr>
            <w:r>
              <w:rPr>
                <w:sz w:val="4"/>
                <w:szCs w:val="4"/>
              </w:rPr>
            </w:r>
          </w:p>
        </w:tc>
      </w:tr>
      <w:tr>
        <w:trPr/>
        <w:tc>
          <w:tcPr>
            <w:tcW w:w="4666" w:type="dxa"/>
            <w:tcBorders/>
            <w:vAlign w:val="center"/>
          </w:tcPr>
          <w:p>
            <w:pPr>
              <w:pStyle w:val="TableContents"/>
              <w:widowControl w:val="false"/>
              <w:suppressLineNumbers/>
              <w:spacing w:before="0" w:after="200"/>
              <w:rPr/>
            </w:pPr>
            <w:r>
              <w:rPr/>
              <w:t>12. Số thuế TNDN còn phải nộp đến thời hạn nộp hồ sơ khai quyết toán thuế</w:t>
            </w:r>
          </w:p>
        </w:tc>
        <w:tc>
          <w:tcPr>
            <w:tcW w:w="1246" w:type="dxa"/>
            <w:tcBorders/>
            <w:vAlign w:val="center"/>
          </w:tcPr>
          <w:p>
            <w:pPr>
              <w:pStyle w:val="TableContents"/>
              <w:widowControl w:val="false"/>
              <w:suppressLineNumbers/>
              <w:spacing w:before="0" w:after="200"/>
              <w:rPr/>
            </w:pPr>
            <w:r>
              <w:rPr/>
              <w:t>0,65</w:t>
            </w:r>
          </w:p>
        </w:tc>
        <w:tc>
          <w:tcPr>
            <w:tcW w:w="1051" w:type="dxa"/>
            <w:tcBorders/>
            <w:vAlign w:val="center"/>
          </w:tcPr>
          <w:p>
            <w:pPr>
              <w:pStyle w:val="TableContents"/>
              <w:widowControl w:val="false"/>
              <w:suppressLineNumbers/>
              <w:spacing w:before="0" w:after="200"/>
              <w:rPr/>
            </w:pPr>
            <w:r>
              <w:rPr/>
              <w:t>0</w:t>
            </w:r>
          </w:p>
        </w:tc>
        <w:tc>
          <w:tcPr>
            <w:tcW w:w="1677" w:type="dxa"/>
            <w:tcBorders/>
            <w:vAlign w:val="center"/>
          </w:tcPr>
          <w:p>
            <w:pPr>
              <w:pStyle w:val="TableContents"/>
              <w:widowControl w:val="false"/>
              <w:suppressLineNumbers/>
              <w:spacing w:before="0" w:after="200"/>
              <w:rPr/>
            </w:pPr>
            <w:r>
              <w:rPr/>
              <w:t>-0,35 (được hoàn hoặc bù trừ kỳ sau)</w:t>
            </w:r>
          </w:p>
        </w:tc>
      </w:tr>
    </w:tbl>
    <w:p>
      <w:pPr>
        <w:pStyle w:val="BodyText"/>
        <w:rPr/>
      </w:pPr>
      <w:r>
        <w:rPr>
          <w:rStyle w:val="Strong"/>
        </w:rPr>
        <w:t>Kết luận:</w:t>
      </w:r>
      <w:r>
        <w:rPr/>
        <w:t xml:space="preserve"> – Doanh nghiệp có số thuế TNDN phải nộp: 0,65 + 0 + (-0,35) = 0,3 tỷ đồng. </w:t>
      </w:r>
      <w:r>
        <w:rPr>
          <w:rStyle w:val="Emphasis"/>
        </w:rPr>
        <w:t>Lưu ý: Có sự khác biệt trong kết quả tính toán ở phần "Gợi ý lời giải" của nguồn.</w:t>
      </w:r>
      <w:r>
        <w:rPr/>
        <w:t xml:space="preserve"> Theo gợi ý lời giải, số thuế TNDN phải nộp là: 1,85 + 0,8 + 1,05 = 3,7 tỷ đồng.</w:t>
      </w:r>
    </w:p>
    <w:p>
      <w:pPr>
        <w:pStyle w:val="BodyText"/>
        <w:rPr/>
      </w:pPr>
      <w:r>
        <w:rPr/>
        <w:t>Về việc lập hồ sơ khai thuế GTGT và TNDN, nguồn không cung cấp mẫu cụ thể mà chỉ hướng dẫn tính toán số thuế. Để lập hồ sơ khai thuế, bạn cần sử dụng các tờ khai theo quy định hiện hành của cơ quan thuế.</w:t>
      </w:r>
    </w:p>
    <w:p>
      <w:pPr>
        <w:pStyle w:val="BodyText"/>
        <w:rPr/>
      </w:pPr>
      <w:r>
        <w:rPr/>
        <w:t>Nguồn cũng khuyến nghị tham khảo thêm các khóa học ôn thi Đại lý thuế để nắm vững kiến thức.</w:t>
      </w:r>
    </w:p>
    <w:p>
      <w:pPr>
        <w:pStyle w:val="Normal"/>
        <w:widowControl/>
        <w:bidi w:val="0"/>
        <w:spacing w:lineRule="auto" w:line="276" w:before="0" w:after="200"/>
        <w:jc w:val="left"/>
        <w:rPr/>
      </w:pPr>
      <w:r>
        <w:rP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 w:name="Google Sans Text">
    <w:altName w:val="Google Sans"/>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9">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0">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LibreOffice/24.2.4.2$Windows_X86_64 LibreOffice_project/51a6219feb6075d9a4c46691dcfe0cd9c4fff3c2</Application>
  <AppVersion>15.0000</AppVersion>
  <Pages>13</Pages>
  <Words>5128</Words>
  <Characters>17828</Characters>
  <CharactersWithSpaces>22629</CharactersWithSpaces>
  <Paragraphs>402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en-US</dc:language>
  <cp:lastModifiedBy/>
  <dcterms:modified xsi:type="dcterms:W3CDTF">2025-04-23T14:26:25Z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