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pPr>
      <w:r>
        <w:rPr>
          <w:rStyle w:val="Strong"/>
          <w:b/>
          <w:bCs/>
        </w:rPr>
        <w:t>Đề thi đại lý thuế 2023 môn kế toán (có lời giải)</w:t>
      </w:r>
    </w:p>
    <w:p>
      <w:pPr>
        <w:pStyle w:val="BodyText"/>
        <w:bidi w:val="0"/>
        <w:jc w:val="left"/>
        <w:rPr/>
      </w:pPr>
      <w:r>
        <w:rPr>
          <w:rStyle w:val="Strong"/>
        </w:rPr>
        <w:t>Nội dung chính:</w:t>
      </w:r>
      <w:r>
        <w:rPr/>
        <w:t xml:space="preserve"> Đề thi này được đánh giá là khá dài và đòi hỏi người học cần có sự chuẩn bị kỹ lưỡng về kiến thức và kinh nghiệm thi. Mục tiêu của việc chia sẻ đề thi và lời giải là giúp học viên nắm vững kiến thức và hiểu rõ cách làm bài để có thể vượt qua kỳ thi Đại lý Thuế môn kế toán và đạt được chứng chỉ hành nghề dịch vụ làm thủ tục về thuế.</w:t>
      </w:r>
    </w:p>
    <w:p>
      <w:pPr>
        <w:pStyle w:val="BodyText"/>
        <w:bidi w:val="0"/>
        <w:jc w:val="left"/>
        <w:rPr/>
      </w:pPr>
      <w:r>
        <w:rPr>
          <w:rStyle w:val="Strong"/>
        </w:rPr>
        <w:t>(Ghi chú: Lời giải phía bên dưới phần đề thi)</w:t>
      </w:r>
    </w:p>
    <w:p>
      <w:pPr>
        <w:pStyle w:val="Heading2"/>
        <w:bidi w:val="0"/>
        <w:jc w:val="left"/>
        <w:rPr/>
      </w:pPr>
      <w:r>
        <w:rPr/>
        <w:t>Phần 1. Lý thuyết đề thi đại lý thuế 2023 môn kế toán</w:t>
      </w:r>
    </w:p>
    <w:p>
      <w:pPr>
        <w:pStyle w:val="Heading3"/>
        <w:bidi w:val="0"/>
        <w:jc w:val="left"/>
        <w:rPr/>
      </w:pPr>
      <w:r>
        <w:rPr/>
        <w:t>Câu 1 (2 điểm): Anh/chị hãy trình bày:</w:t>
      </w:r>
    </w:p>
    <w:p>
      <w:pPr>
        <w:pStyle w:val="BodyText"/>
        <w:numPr>
          <w:ilvl w:val="0"/>
          <w:numId w:val="1"/>
        </w:numPr>
        <w:tabs>
          <w:tab w:val="clear" w:pos="709"/>
          <w:tab w:val="left" w:pos="709" w:leader="none"/>
        </w:tabs>
        <w:bidi w:val="0"/>
        <w:ind w:hanging="283" w:left="709"/>
        <w:jc w:val="left"/>
        <w:rPr/>
      </w:pPr>
      <w:r>
        <w:rPr>
          <w:rStyle w:val="Strong"/>
        </w:rPr>
        <w:t>Các yêu cầu đối với thông tin trình bày trong Báo cáo tài chính theo Thông tư số 200/2014/TT-BTC ngày 22/12/2014 của Bộ Tài chính.</w:t>
      </w:r>
    </w:p>
    <w:p>
      <w:pPr>
        <w:pStyle w:val="BodyText"/>
        <w:numPr>
          <w:ilvl w:val="0"/>
          <w:numId w:val="0"/>
        </w:numPr>
        <w:bidi w:val="0"/>
        <w:ind w:hanging="0" w:left="0"/>
        <w:jc w:val="left"/>
        <w:rPr/>
      </w:pPr>
      <w:r>
        <w:rPr>
          <w:rStyle w:val="Strong"/>
        </w:rPr>
        <w:t>Gợi ý lời giải:</w:t>
      </w:r>
      <w:r>
        <w:rPr/>
        <w:t xml:space="preserve"> Theo Thông tư số 200/2014/TT-BTC ngày 22/12/2014 của Bộ Tài chính, thông tin trình bày trong Báo cáo tài chính của doanh nghiệp phải đảm bảo các yêu cầu sau:</w:t>
      </w:r>
    </w:p>
    <w:p>
      <w:pPr>
        <w:pStyle w:val="BodyText"/>
        <w:numPr>
          <w:ilvl w:val="1"/>
          <w:numId w:val="1"/>
        </w:numPr>
        <w:tabs>
          <w:tab w:val="clear" w:pos="709"/>
          <w:tab w:val="left" w:pos="1418" w:leader="none"/>
        </w:tabs>
        <w:bidi w:val="0"/>
        <w:spacing w:before="0" w:after="0"/>
        <w:ind w:hanging="283" w:left="1418"/>
        <w:jc w:val="left"/>
        <w:rPr/>
      </w:pPr>
      <w:r>
        <w:rPr>
          <w:rStyle w:val="Strong"/>
        </w:rPr>
        <w:t>Đầy đủ, trung thực, khách quan và không có sai sót:</w:t>
      </w:r>
      <w:r>
        <w:rPr/>
        <w:t xml:space="preserve"> Phản ánh đúng, hợp lý về tình hình tài chính, tình hình và kết quả kinh doanh của doanh nghiệp. </w:t>
      </w:r>
    </w:p>
    <w:p>
      <w:pPr>
        <w:pStyle w:val="BodyText"/>
        <w:numPr>
          <w:ilvl w:val="1"/>
          <w:numId w:val="1"/>
        </w:numPr>
        <w:tabs>
          <w:tab w:val="clear" w:pos="709"/>
          <w:tab w:val="left" w:pos="1418" w:leader="none"/>
        </w:tabs>
        <w:bidi w:val="0"/>
        <w:spacing w:before="0" w:after="0"/>
        <w:ind w:hanging="283" w:left="1418"/>
        <w:jc w:val="left"/>
        <w:rPr/>
      </w:pPr>
      <w:r>
        <w:rPr>
          <w:rStyle w:val="Strong"/>
        </w:rPr>
        <w:t>Thích hợp:</w:t>
      </w:r>
      <w:r>
        <w:rPr/>
        <w:t xml:space="preserve"> Giúp cho người sử dụng dễ dàng dự đoán, phân tích và đưa ra các quyết định kinh tế. </w:t>
      </w:r>
    </w:p>
    <w:p>
      <w:pPr>
        <w:pStyle w:val="BodyText"/>
        <w:numPr>
          <w:ilvl w:val="1"/>
          <w:numId w:val="1"/>
        </w:numPr>
        <w:tabs>
          <w:tab w:val="clear" w:pos="709"/>
          <w:tab w:val="left" w:pos="1418" w:leader="none"/>
        </w:tabs>
        <w:bidi w:val="0"/>
        <w:spacing w:before="0" w:after="0"/>
        <w:ind w:hanging="283" w:left="1418"/>
        <w:jc w:val="left"/>
        <w:rPr/>
      </w:pPr>
      <w:r>
        <w:rPr>
          <w:rStyle w:val="Strong"/>
        </w:rPr>
        <w:t>Trọng yếu:</w:t>
      </w:r>
      <w:r>
        <w:rPr/>
        <w:t xml:space="preserve"> Thông tin tài chính phải được trình bày đầy đủ theo khía cạnh trọng yếu. </w:t>
      </w:r>
    </w:p>
    <w:p>
      <w:pPr>
        <w:pStyle w:val="BodyText"/>
        <w:numPr>
          <w:ilvl w:val="1"/>
          <w:numId w:val="1"/>
        </w:numPr>
        <w:tabs>
          <w:tab w:val="clear" w:pos="709"/>
          <w:tab w:val="left" w:pos="1418" w:leader="none"/>
        </w:tabs>
        <w:bidi w:val="0"/>
        <w:spacing w:before="0" w:after="0"/>
        <w:ind w:hanging="283" w:left="1418"/>
        <w:jc w:val="left"/>
        <w:rPr/>
      </w:pPr>
      <w:r>
        <w:rPr>
          <w:rStyle w:val="Strong"/>
        </w:rPr>
        <w:t>Kịp thời, dễ hiểu và có thể kiểm chứng:</w:t>
      </w:r>
      <w:r>
        <w:rPr/>
        <w:t xml:space="preserve"> Đảm bảo tính kịp thời, dễ dàng nắm bắt và có khả năng xác minh. </w:t>
      </w:r>
    </w:p>
    <w:p>
      <w:pPr>
        <w:pStyle w:val="BodyText"/>
        <w:numPr>
          <w:ilvl w:val="1"/>
          <w:numId w:val="1"/>
        </w:numPr>
        <w:tabs>
          <w:tab w:val="clear" w:pos="709"/>
          <w:tab w:val="left" w:pos="1418" w:leader="none"/>
        </w:tabs>
        <w:bidi w:val="0"/>
        <w:spacing w:before="0" w:after="0"/>
        <w:ind w:hanging="283" w:left="1418"/>
        <w:jc w:val="left"/>
        <w:rPr/>
      </w:pPr>
      <w:r>
        <w:rPr>
          <w:rStyle w:val="Strong"/>
        </w:rPr>
        <w:t>Nhất quán và có thể so sánh:</w:t>
      </w:r>
      <w:r>
        <w:rPr/>
        <w:t xml:space="preserve"> Có thể so sánh giữa các kỳ kế toán, so sánh được giữa các doanh nghiệp nhỏ và vừa với nhau. </w:t>
      </w:r>
    </w:p>
    <w:p>
      <w:pPr>
        <w:pStyle w:val="BodyText"/>
        <w:numPr>
          <w:ilvl w:val="1"/>
          <w:numId w:val="1"/>
        </w:numPr>
        <w:tabs>
          <w:tab w:val="clear" w:pos="709"/>
          <w:tab w:val="left" w:pos="1418" w:leader="none"/>
        </w:tabs>
        <w:bidi w:val="0"/>
        <w:spacing w:before="0" w:after="0"/>
        <w:ind w:hanging="283" w:left="1418"/>
        <w:jc w:val="left"/>
        <w:rPr/>
      </w:pPr>
      <w:r>
        <w:rPr>
          <w:rStyle w:val="Strong"/>
        </w:rPr>
        <w:t>Linh hoạt trong trình bày:</w:t>
      </w:r>
      <w:r>
        <w:rPr/>
        <w:t xml:space="preserve"> Các chỉ tiêu không có số liệu được miễn trình bày. Doanh nghiệp được chủ động đánh lại số thứ tự của các chỉ tiêu theo nguyên tắc liên tục trong mỗi phần. </w:t>
      </w:r>
    </w:p>
    <w:p>
      <w:pPr>
        <w:pStyle w:val="BodyText"/>
        <w:numPr>
          <w:ilvl w:val="0"/>
          <w:numId w:val="1"/>
        </w:numPr>
        <w:tabs>
          <w:tab w:val="clear" w:pos="709"/>
          <w:tab w:val="left" w:pos="709" w:leader="none"/>
        </w:tabs>
        <w:bidi w:val="0"/>
        <w:ind w:hanging="283" w:left="709"/>
        <w:jc w:val="left"/>
        <w:rPr/>
      </w:pPr>
      <w:r>
        <w:rPr>
          <w:rStyle w:val="Strong"/>
        </w:rPr>
        <w:t>Nội dung và nguyên tắc của kế toán bán hàng đối với các trường hợp công ty bán hàng theo phương thức trả góp, trả chậm theo Thông tư 200/2014/TT-BTC ngày 22/12/2014 của Bộ Tài chính.</w:t>
      </w:r>
    </w:p>
    <w:p>
      <w:pPr>
        <w:pStyle w:val="BodyText"/>
        <w:numPr>
          <w:ilvl w:val="0"/>
          <w:numId w:val="0"/>
        </w:numPr>
        <w:bidi w:val="0"/>
        <w:ind w:hanging="0" w:left="0"/>
        <w:jc w:val="left"/>
        <w:rPr/>
      </w:pPr>
      <w:r>
        <w:rPr>
          <w:rStyle w:val="Strong"/>
        </w:rPr>
        <w:t>Gợi ý lời giải:</w:t>
      </w:r>
      <w:r>
        <w:rPr/>
        <w:t xml:space="preserve"> Bán hàng theo trả chậm, trả góp là phương thức bán hàng trực tiếp mà tiền hàng được người mua thanh toán một phần ngay tại thời điểm mua và phần còn lại được thanh toán nhiều lần ở các kỳ tiếp theo. Người mua sẽ chịu thêm một khoản phí trả góp (lãi trả góp). Kế toán phản ánh doanh thu bán hàng theo </w:t>
      </w:r>
      <w:r>
        <w:rPr>
          <w:rStyle w:val="Strong"/>
        </w:rPr>
        <w:t>giá bán trả tiền ngay chưa có thuế</w:t>
      </w:r>
      <w:r>
        <w:rPr/>
        <w:t>, ghi:</w:t>
      </w:r>
    </w:p>
    <w:p>
      <w:pPr>
        <w:pStyle w:val="BodyText"/>
        <w:numPr>
          <w:ilvl w:val="1"/>
          <w:numId w:val="1"/>
        </w:numPr>
        <w:tabs>
          <w:tab w:val="clear" w:pos="709"/>
          <w:tab w:val="left" w:pos="1418" w:leader="none"/>
        </w:tabs>
        <w:bidi w:val="0"/>
        <w:spacing w:before="0" w:after="0"/>
        <w:ind w:hanging="283" w:left="1418"/>
        <w:jc w:val="left"/>
        <w:rPr/>
      </w:pPr>
      <w:r>
        <w:rPr/>
        <w:t xml:space="preserve">Nợ TK 131 – Phải thu của khách hàng </w:t>
      </w:r>
    </w:p>
    <w:p>
      <w:pPr>
        <w:pStyle w:val="BodyText"/>
        <w:numPr>
          <w:ilvl w:val="1"/>
          <w:numId w:val="1"/>
        </w:numPr>
        <w:tabs>
          <w:tab w:val="clear" w:pos="709"/>
          <w:tab w:val="left" w:pos="1418" w:leader="none"/>
        </w:tabs>
        <w:bidi w:val="0"/>
        <w:spacing w:before="0" w:after="0"/>
        <w:ind w:hanging="283" w:left="1418"/>
        <w:jc w:val="left"/>
        <w:rPr/>
      </w:pPr>
      <w:r>
        <w:rPr/>
        <w:t xml:space="preserve">Có TK 511 – Doanh thu bán hàng và cung cấp dịch vụ (5111, 5115, 5117) (Giá bán trả tiền ngay chưa có thuế GTGT) </w:t>
      </w:r>
    </w:p>
    <w:p>
      <w:pPr>
        <w:pStyle w:val="BodyText"/>
        <w:numPr>
          <w:ilvl w:val="1"/>
          <w:numId w:val="1"/>
        </w:numPr>
        <w:tabs>
          <w:tab w:val="clear" w:pos="709"/>
          <w:tab w:val="left" w:pos="1418" w:leader="none"/>
        </w:tabs>
        <w:bidi w:val="0"/>
        <w:spacing w:before="0" w:after="0"/>
        <w:ind w:hanging="283" w:left="1418"/>
        <w:jc w:val="left"/>
        <w:rPr/>
      </w:pPr>
      <w:r>
        <w:rPr/>
        <w:t xml:space="preserve">Có TK 333 – Thuế và các khoản phải nộp Nhà nước (3331, 3332) (Thuế GTGT phải nộp) </w:t>
      </w:r>
    </w:p>
    <w:p>
      <w:pPr>
        <w:pStyle w:val="BodyText"/>
        <w:numPr>
          <w:ilvl w:val="1"/>
          <w:numId w:val="1"/>
        </w:numPr>
        <w:tabs>
          <w:tab w:val="clear" w:pos="709"/>
          <w:tab w:val="left" w:pos="1418" w:leader="none"/>
        </w:tabs>
        <w:bidi w:val="0"/>
        <w:spacing w:before="0" w:after="0"/>
        <w:ind w:hanging="283" w:left="1418"/>
        <w:jc w:val="left"/>
        <w:rPr/>
      </w:pPr>
      <w:r>
        <w:rPr/>
        <w:t xml:space="preserve">Có TK 3387 – Doanh thu chưa thực hiện (chênh lệch giữa tổng số tiền theo giá bán trả chậm, trả góp với giá bán trả tiền ngay chưa có thuế GTGT). </w:t>
      </w:r>
    </w:p>
    <w:p>
      <w:pPr>
        <w:pStyle w:val="BodyText"/>
        <w:numPr>
          <w:ilvl w:val="1"/>
          <w:numId w:val="1"/>
        </w:numPr>
        <w:tabs>
          <w:tab w:val="clear" w:pos="709"/>
          <w:tab w:val="left" w:pos="1418" w:leader="none"/>
        </w:tabs>
        <w:bidi w:val="0"/>
        <w:spacing w:before="0" w:after="0"/>
        <w:ind w:hanging="283" w:left="1418"/>
        <w:jc w:val="left"/>
        <w:rPr/>
      </w:pPr>
      <w:r>
        <w:rPr/>
        <w:t>Khi thu được tiền bán hàng, ghi:</w:t>
      </w:r>
    </w:p>
    <w:p>
      <w:pPr>
        <w:pStyle w:val="BodyText"/>
        <w:numPr>
          <w:ilvl w:val="2"/>
          <w:numId w:val="1"/>
        </w:numPr>
        <w:tabs>
          <w:tab w:val="clear" w:pos="709"/>
          <w:tab w:val="left" w:pos="2127" w:leader="none"/>
        </w:tabs>
        <w:bidi w:val="0"/>
        <w:spacing w:before="0" w:after="0"/>
        <w:ind w:hanging="283" w:left="2127"/>
        <w:jc w:val="left"/>
        <w:rPr/>
      </w:pPr>
      <w:r>
        <w:rPr/>
        <w:t xml:space="preserve">Nợ các TK 111, 112,… </w:t>
      </w:r>
    </w:p>
    <w:p>
      <w:pPr>
        <w:pStyle w:val="BodyText"/>
        <w:numPr>
          <w:ilvl w:val="2"/>
          <w:numId w:val="1"/>
        </w:numPr>
        <w:tabs>
          <w:tab w:val="clear" w:pos="709"/>
          <w:tab w:val="left" w:pos="2127" w:leader="none"/>
        </w:tabs>
        <w:bidi w:val="0"/>
        <w:spacing w:before="0" w:after="0"/>
        <w:ind w:hanging="283" w:left="2127"/>
        <w:jc w:val="left"/>
        <w:rPr/>
      </w:pPr>
      <w:r>
        <w:rPr/>
        <w:t xml:space="preserve">Có TK 131 – Phải thu của khách hàng </w:t>
      </w:r>
    </w:p>
    <w:p>
      <w:pPr>
        <w:pStyle w:val="BodyText"/>
        <w:numPr>
          <w:ilvl w:val="1"/>
          <w:numId w:val="1"/>
        </w:numPr>
        <w:tabs>
          <w:tab w:val="clear" w:pos="709"/>
          <w:tab w:val="left" w:pos="1418" w:leader="none"/>
        </w:tabs>
        <w:bidi w:val="0"/>
        <w:spacing w:before="0" w:after="0"/>
        <w:ind w:hanging="283" w:left="1418"/>
        <w:jc w:val="left"/>
        <w:rPr/>
      </w:pPr>
      <w:r>
        <w:rPr>
          <w:rStyle w:val="Strong"/>
        </w:rPr>
        <w:t>Định kỳ, ghi nhận doanh thu tiền lãi bán hàng trả góp trả chậm:</w:t>
      </w:r>
      <w:r>
        <w:rPr/>
        <w:t xml:space="preserve"> Trong kỳ, ghi:</w:t>
      </w:r>
    </w:p>
    <w:p>
      <w:pPr>
        <w:pStyle w:val="BodyText"/>
        <w:numPr>
          <w:ilvl w:val="2"/>
          <w:numId w:val="1"/>
        </w:numPr>
        <w:tabs>
          <w:tab w:val="clear" w:pos="709"/>
          <w:tab w:val="left" w:pos="2127" w:leader="none"/>
        </w:tabs>
        <w:bidi w:val="0"/>
        <w:spacing w:before="0" w:after="0"/>
        <w:ind w:hanging="283" w:left="2127"/>
        <w:jc w:val="left"/>
        <w:rPr/>
      </w:pPr>
      <w:r>
        <w:rPr/>
        <w:t xml:space="preserve">Nợ TK 3387 – Doanh thu chưa thực hiện </w:t>
      </w:r>
    </w:p>
    <w:p>
      <w:pPr>
        <w:pStyle w:val="BodyText"/>
        <w:numPr>
          <w:ilvl w:val="2"/>
          <w:numId w:val="1"/>
        </w:numPr>
        <w:tabs>
          <w:tab w:val="clear" w:pos="709"/>
          <w:tab w:val="left" w:pos="2127" w:leader="none"/>
        </w:tabs>
        <w:bidi w:val="0"/>
        <w:ind w:hanging="283" w:left="2127"/>
        <w:jc w:val="left"/>
        <w:rPr/>
      </w:pPr>
      <w:r>
        <w:rPr/>
        <w:t xml:space="preserve">Có TK 515 – Doanh thu hoạt động tài chính (lãi trả chậm, trả góp). </w:t>
      </w:r>
    </w:p>
    <w:p>
      <w:pPr>
        <w:pStyle w:val="Heading3"/>
        <w:bidi w:val="0"/>
        <w:jc w:val="left"/>
        <w:rPr/>
      </w:pPr>
      <w:r>
        <w:rPr/>
        <w:t>Câu 2 (2 điểm): Anh/chị hãy trình bày:</w:t>
      </w:r>
    </w:p>
    <w:p>
      <w:pPr>
        <w:pStyle w:val="BodyText"/>
        <w:numPr>
          <w:ilvl w:val="0"/>
          <w:numId w:val="2"/>
        </w:numPr>
        <w:tabs>
          <w:tab w:val="clear" w:pos="709"/>
          <w:tab w:val="left" w:pos="709" w:leader="none"/>
        </w:tabs>
        <w:bidi w:val="0"/>
        <w:ind w:hanging="283" w:left="709"/>
        <w:jc w:val="left"/>
        <w:rPr/>
      </w:pPr>
      <w:r>
        <w:rPr>
          <w:rStyle w:val="Strong"/>
        </w:rPr>
        <w:t>Cách xác định giá gốc của nguyên vật liệu mua ngoài và giá gốc nguyên vật liệu thuê ngoài gia công chế biến theo quy định tại Thông tư số 200/2014/TT-BTC ngày 22/12/2014 của Bộ Tài chính. Cho ví dụ minh họa xác định giá gốc nguyên vật liệu mua ngoài.</w:t>
      </w:r>
    </w:p>
    <w:p>
      <w:pPr>
        <w:pStyle w:val="BodyText"/>
        <w:numPr>
          <w:ilvl w:val="0"/>
          <w:numId w:val="0"/>
        </w:numPr>
        <w:bidi w:val="0"/>
        <w:ind w:hanging="0" w:left="0"/>
        <w:jc w:val="left"/>
        <w:rPr/>
      </w:pPr>
      <w:r>
        <w:rPr>
          <w:rStyle w:val="Strong"/>
        </w:rPr>
        <w:t>Gợi ý lời giải:</w:t>
      </w:r>
      <w:r>
        <w:rPr/>
        <w:t xml:space="preserve"> Kế toán nhập, xuất, tồn kho nguyên liệu, vật liệu, công cụ, dụng cụ phải tuân theo nguyên tắc giá gốc theo chuẩn mực "Hàng tồn kho". Giá gốc được xác định theo từng nguồn nhập:</w:t>
      </w:r>
    </w:p>
    <w:p>
      <w:pPr>
        <w:pStyle w:val="BodyText"/>
        <w:numPr>
          <w:ilvl w:val="1"/>
          <w:numId w:val="2"/>
        </w:numPr>
        <w:tabs>
          <w:tab w:val="clear" w:pos="709"/>
          <w:tab w:val="left" w:pos="1418" w:leader="none"/>
        </w:tabs>
        <w:bidi w:val="0"/>
        <w:spacing w:before="0" w:after="0"/>
        <w:ind w:hanging="283" w:left="1418"/>
        <w:jc w:val="left"/>
        <w:rPr/>
      </w:pPr>
      <w:r>
        <w:rPr>
          <w:rStyle w:val="Strong"/>
        </w:rPr>
        <w:t>Giá gốc của nguyên vật liệu mua ngoài bao gồm:</w:t>
      </w:r>
    </w:p>
    <w:p>
      <w:pPr>
        <w:pStyle w:val="BodyText"/>
        <w:numPr>
          <w:ilvl w:val="2"/>
          <w:numId w:val="2"/>
        </w:numPr>
        <w:tabs>
          <w:tab w:val="clear" w:pos="709"/>
          <w:tab w:val="left" w:pos="2127" w:leader="none"/>
        </w:tabs>
        <w:bidi w:val="0"/>
        <w:spacing w:before="0" w:after="0"/>
        <w:ind w:hanging="283" w:left="2127"/>
        <w:jc w:val="left"/>
        <w:rPr/>
      </w:pPr>
      <w:r>
        <w:rPr/>
        <w:t xml:space="preserve">Giá mua ghi trên hóa đơn. </w:t>
      </w:r>
    </w:p>
    <w:p>
      <w:pPr>
        <w:pStyle w:val="BodyText"/>
        <w:numPr>
          <w:ilvl w:val="2"/>
          <w:numId w:val="2"/>
        </w:numPr>
        <w:tabs>
          <w:tab w:val="clear" w:pos="709"/>
          <w:tab w:val="left" w:pos="2127" w:leader="none"/>
        </w:tabs>
        <w:bidi w:val="0"/>
        <w:spacing w:before="0" w:after="0"/>
        <w:ind w:hanging="283" w:left="2127"/>
        <w:jc w:val="left"/>
        <w:rPr/>
      </w:pPr>
      <w:r>
        <w:rPr/>
        <w:t xml:space="preserve">Thuế nhập khẩu, thuế tiêu thụ đặc biệt, thuế GTGT hàng nhập khẩu, thuế bảo vệ môi trường (nếu có). </w:t>
      </w:r>
    </w:p>
    <w:p>
      <w:pPr>
        <w:pStyle w:val="BodyText"/>
        <w:numPr>
          <w:ilvl w:val="2"/>
          <w:numId w:val="2"/>
        </w:numPr>
        <w:tabs>
          <w:tab w:val="clear" w:pos="709"/>
          <w:tab w:val="left" w:pos="2127" w:leader="none"/>
        </w:tabs>
        <w:bidi w:val="0"/>
        <w:spacing w:before="0" w:after="0"/>
        <w:ind w:hanging="283" w:left="2127"/>
        <w:jc w:val="left"/>
        <w:rPr/>
      </w:pPr>
      <w:r>
        <w:rPr/>
        <w:t xml:space="preserve">Chi phí liên quan: bảo quản, vận chuyển, bốc xếp, phân loại, bảo hiểm từ nơi mua về kho doanh nghiệp, công tác phí cán bộ thu mua, chi phí bộ phận thu mua độc lập, các chi phí khác liên quan trực tiếp đến việc thu mua. </w:t>
      </w:r>
    </w:p>
    <w:p>
      <w:pPr>
        <w:pStyle w:val="BodyText"/>
        <w:numPr>
          <w:ilvl w:val="2"/>
          <w:numId w:val="2"/>
        </w:numPr>
        <w:tabs>
          <w:tab w:val="clear" w:pos="709"/>
          <w:tab w:val="left" w:pos="2127" w:leader="none"/>
        </w:tabs>
        <w:bidi w:val="0"/>
        <w:spacing w:before="0" w:after="0"/>
        <w:ind w:hanging="283" w:left="2127"/>
        <w:jc w:val="left"/>
        <w:rPr/>
      </w:pPr>
      <w:r>
        <w:rPr/>
        <w:t xml:space="preserve">Số hao hụt tự nhiên trong định mức (nếu có). </w:t>
      </w:r>
    </w:p>
    <w:p>
      <w:pPr>
        <w:pStyle w:val="BodyText"/>
        <w:numPr>
          <w:ilvl w:val="1"/>
          <w:numId w:val="2"/>
        </w:numPr>
        <w:tabs>
          <w:tab w:val="clear" w:pos="709"/>
          <w:tab w:val="left" w:pos="1418" w:leader="none"/>
        </w:tabs>
        <w:bidi w:val="0"/>
        <w:spacing w:before="0" w:after="0"/>
        <w:ind w:hanging="283" w:left="1418"/>
        <w:jc w:val="left"/>
        <w:rPr/>
      </w:pPr>
      <w:r>
        <w:rPr>
          <w:rStyle w:val="Strong"/>
        </w:rPr>
        <w:t>Giá gốc của nguyên liệu, vật liệu thuê ngoài gia công chế biến bao gồm:</w:t>
      </w:r>
    </w:p>
    <w:p>
      <w:pPr>
        <w:pStyle w:val="BodyText"/>
        <w:numPr>
          <w:ilvl w:val="2"/>
          <w:numId w:val="2"/>
        </w:numPr>
        <w:tabs>
          <w:tab w:val="clear" w:pos="709"/>
          <w:tab w:val="left" w:pos="2127" w:leader="none"/>
        </w:tabs>
        <w:bidi w:val="0"/>
        <w:spacing w:before="0" w:after="0"/>
        <w:ind w:hanging="283" w:left="2127"/>
        <w:jc w:val="left"/>
        <w:rPr/>
      </w:pPr>
      <w:r>
        <w:rPr/>
        <w:t xml:space="preserve">Giá thực tế của nguyên liệu, vật liệu xuất thuê ngoài gia công chế biến. </w:t>
      </w:r>
    </w:p>
    <w:p>
      <w:pPr>
        <w:pStyle w:val="BodyText"/>
        <w:numPr>
          <w:ilvl w:val="2"/>
          <w:numId w:val="2"/>
        </w:numPr>
        <w:tabs>
          <w:tab w:val="clear" w:pos="709"/>
          <w:tab w:val="left" w:pos="2127" w:leader="none"/>
        </w:tabs>
        <w:bidi w:val="0"/>
        <w:spacing w:before="0" w:after="0"/>
        <w:ind w:hanging="283" w:left="2127"/>
        <w:jc w:val="left"/>
        <w:rPr/>
      </w:pPr>
      <w:r>
        <w:rPr/>
        <w:t xml:space="preserve">Chi phí vận chuyển vật liệu đến nơi chế biến và từ nơi chế biến về doanh nghiệp. </w:t>
      </w:r>
    </w:p>
    <w:p>
      <w:pPr>
        <w:pStyle w:val="BodyText"/>
        <w:numPr>
          <w:ilvl w:val="2"/>
          <w:numId w:val="2"/>
        </w:numPr>
        <w:tabs>
          <w:tab w:val="clear" w:pos="709"/>
          <w:tab w:val="left" w:pos="2127" w:leader="none"/>
        </w:tabs>
        <w:bidi w:val="0"/>
        <w:spacing w:before="0" w:after="0"/>
        <w:ind w:hanging="283" w:left="2127"/>
        <w:jc w:val="left"/>
        <w:rPr/>
      </w:pPr>
      <w:r>
        <w:rPr/>
        <w:t xml:space="preserve">Tiền thuê ngoài gia công chế biến. </w:t>
      </w:r>
    </w:p>
    <w:p>
      <w:pPr>
        <w:pStyle w:val="BodyText"/>
        <w:numPr>
          <w:ilvl w:val="1"/>
          <w:numId w:val="2"/>
        </w:numPr>
        <w:tabs>
          <w:tab w:val="clear" w:pos="709"/>
          <w:tab w:val="left" w:pos="1418" w:leader="none"/>
        </w:tabs>
        <w:bidi w:val="0"/>
        <w:spacing w:before="0" w:after="0"/>
        <w:ind w:hanging="283" w:left="1418"/>
        <w:jc w:val="left"/>
        <w:rPr/>
      </w:pPr>
      <w:r>
        <w:rPr>
          <w:rStyle w:val="Strong"/>
        </w:rPr>
        <w:t>Ví dụ minh họa về xác định giá gốc của nguyên vật liệu mua ngoài:</w:t>
      </w:r>
      <w:r>
        <w:rPr/>
        <w:br/>
        <w:t>Công ty A mua nguyên vật liệu B từ nhà cung cấp C với giá mua là 12.000.000 VNĐ. Công ty A phải trả thêm 10% thuế GTGT và 5% phí vận chuyển.</w:t>
        <w:br/>
        <w:t>Giá gốc của nguyên vật liệu B được tính như sau:</w:t>
        <w:br/>
        <w:t>Giá gốc = Giá mua hàng + Thuế VAT + Chi phí vận chuyển</w:t>
        <w:br/>
        <w:t xml:space="preserve">Giá gốc = 12.000.000 VNĐ + (12.000.000 VNĐ x 10%) + (12.000.000 VNĐ x 5%) = 12.000.000 VNĐ + 1.200.000 VNĐ + 600.000 VNĐ = </w:t>
      </w:r>
      <w:r>
        <w:rPr>
          <w:rStyle w:val="Strong"/>
        </w:rPr>
        <w:t>13.800.000 VNĐ</w:t>
      </w:r>
      <w:r>
        <w:rPr/>
        <w:t xml:space="preserve">. </w:t>
      </w:r>
    </w:p>
    <w:p>
      <w:pPr>
        <w:pStyle w:val="BodyText"/>
        <w:numPr>
          <w:ilvl w:val="0"/>
          <w:numId w:val="2"/>
        </w:numPr>
        <w:tabs>
          <w:tab w:val="clear" w:pos="709"/>
          <w:tab w:val="left" w:pos="709" w:leader="none"/>
        </w:tabs>
        <w:bidi w:val="0"/>
        <w:ind w:hanging="283" w:left="709"/>
        <w:jc w:val="left"/>
        <w:rPr/>
      </w:pPr>
      <w:r>
        <w:rPr>
          <w:rStyle w:val="Strong"/>
        </w:rPr>
        <w:t>Nội dung và phương pháp lập chỉ tiêu trên Báo cáo kết quả hoạt động kinh doanh của doanh nghiệp theo quy định tại Thông tư số 200/2014/TT-BTC ngày 22/12/2014 của Bộ Tài chính.</w:t>
      </w:r>
    </w:p>
    <w:p>
      <w:pPr>
        <w:pStyle w:val="BodyText"/>
        <w:numPr>
          <w:ilvl w:val="0"/>
          <w:numId w:val="0"/>
        </w:numPr>
        <w:bidi w:val="0"/>
        <w:ind w:hanging="0" w:left="0"/>
        <w:jc w:val="left"/>
        <w:rPr/>
      </w:pPr>
      <w:r>
        <w:rPr/>
        <w:t>Các chỉ tiêu được đề cập bao gồm:</w:t>
      </w:r>
    </w:p>
    <w:p>
      <w:pPr>
        <w:pStyle w:val="BodyText"/>
        <w:numPr>
          <w:ilvl w:val="1"/>
          <w:numId w:val="2"/>
        </w:numPr>
        <w:tabs>
          <w:tab w:val="clear" w:pos="709"/>
          <w:tab w:val="left" w:pos="1418" w:leader="none"/>
        </w:tabs>
        <w:bidi w:val="0"/>
        <w:spacing w:before="0" w:after="0"/>
        <w:ind w:hanging="283" w:left="1418"/>
        <w:jc w:val="left"/>
        <w:rPr/>
      </w:pPr>
      <w:r>
        <w:rPr/>
        <w:t xml:space="preserve">Doanh thu bán hàng và cung cấp dịch vụ (Mã số 01). </w:t>
      </w:r>
    </w:p>
    <w:p>
      <w:pPr>
        <w:pStyle w:val="BodyText"/>
        <w:numPr>
          <w:ilvl w:val="1"/>
          <w:numId w:val="2"/>
        </w:numPr>
        <w:tabs>
          <w:tab w:val="clear" w:pos="709"/>
          <w:tab w:val="left" w:pos="1418" w:leader="none"/>
        </w:tabs>
        <w:bidi w:val="0"/>
        <w:spacing w:before="0" w:after="0"/>
        <w:ind w:hanging="283" w:left="1418"/>
        <w:jc w:val="left"/>
        <w:rPr/>
      </w:pPr>
      <w:r>
        <w:rPr/>
        <w:t xml:space="preserve">Các khoản giảm trừ doanh thu (Mã số 02). </w:t>
      </w:r>
    </w:p>
    <w:p>
      <w:pPr>
        <w:pStyle w:val="BodyText"/>
        <w:numPr>
          <w:ilvl w:val="1"/>
          <w:numId w:val="2"/>
        </w:numPr>
        <w:tabs>
          <w:tab w:val="clear" w:pos="709"/>
          <w:tab w:val="left" w:pos="1418" w:leader="none"/>
        </w:tabs>
        <w:bidi w:val="0"/>
        <w:spacing w:before="0" w:after="0"/>
        <w:ind w:hanging="283" w:left="1418"/>
        <w:jc w:val="left"/>
        <w:rPr/>
      </w:pPr>
      <w:r>
        <w:rPr/>
        <w:t xml:space="preserve">Doanh thu thuần về bán hàng và cung cấp dịch vụ (Mã số 10). </w:t>
      </w:r>
    </w:p>
    <w:p>
      <w:pPr>
        <w:pStyle w:val="BodyText"/>
        <w:numPr>
          <w:ilvl w:val="1"/>
          <w:numId w:val="2"/>
        </w:numPr>
        <w:tabs>
          <w:tab w:val="clear" w:pos="709"/>
          <w:tab w:val="left" w:pos="1418" w:leader="none"/>
        </w:tabs>
        <w:bidi w:val="0"/>
        <w:spacing w:before="0" w:after="0"/>
        <w:ind w:hanging="283" w:left="1418"/>
        <w:jc w:val="left"/>
        <w:rPr/>
      </w:pPr>
      <w:r>
        <w:rPr/>
        <w:t xml:space="preserve">Giá vốn hàng bán (Mã số 11). </w:t>
      </w:r>
    </w:p>
    <w:p>
      <w:pPr>
        <w:pStyle w:val="BodyText"/>
        <w:numPr>
          <w:ilvl w:val="1"/>
          <w:numId w:val="2"/>
        </w:numPr>
        <w:tabs>
          <w:tab w:val="clear" w:pos="709"/>
          <w:tab w:val="left" w:pos="1418" w:leader="none"/>
        </w:tabs>
        <w:bidi w:val="0"/>
        <w:ind w:hanging="283" w:left="1418"/>
        <w:jc w:val="left"/>
        <w:rPr/>
      </w:pPr>
      <w:r>
        <w:rPr/>
        <w:t xml:space="preserve">Lợi nhuận gộp về bán hàng và cung cấp dịch vụ (Mã số 20). </w:t>
      </w:r>
    </w:p>
    <w:p>
      <w:pPr>
        <w:pStyle w:val="BodyText"/>
        <w:numPr>
          <w:ilvl w:val="0"/>
          <w:numId w:val="0"/>
        </w:numPr>
        <w:bidi w:val="0"/>
        <w:ind w:hanging="0" w:left="0"/>
        <w:jc w:val="left"/>
        <w:rPr/>
      </w:pPr>
      <w:r>
        <w:rPr>
          <w:rStyle w:val="Strong"/>
        </w:rPr>
        <w:t>Gợi ý lời giải:</w:t>
      </w:r>
      <w:r>
        <w:rPr/>
        <w:t xml:space="preserve"> Phương pháp lập các chỉ tiêu trên Báo cáo kết quả hoạt động kinh doanh theo Thông tư số 200/2014/TT-BTC như sau:</w:t>
      </w:r>
    </w:p>
    <w:p>
      <w:pPr>
        <w:pStyle w:val="BodyText"/>
        <w:numPr>
          <w:ilvl w:val="1"/>
          <w:numId w:val="2"/>
        </w:numPr>
        <w:tabs>
          <w:tab w:val="clear" w:pos="709"/>
          <w:tab w:val="left" w:pos="1418" w:leader="none"/>
        </w:tabs>
        <w:bidi w:val="0"/>
        <w:spacing w:before="0" w:after="0"/>
        <w:ind w:hanging="283" w:left="1418"/>
        <w:jc w:val="left"/>
        <w:rPr/>
      </w:pPr>
      <w:r>
        <w:rPr>
          <w:rStyle w:val="Strong"/>
        </w:rPr>
        <w:t>Doanh thu bán hàng và cung cấp dịch vụ (Mã số 01):</w:t>
      </w:r>
      <w:r>
        <w:rPr/>
        <w:t xml:space="preserve"> Bao gồm tổng doanh thu bán hàng hóa, thành phẩm, bất động sản đầu tư, doanh thu cung cấp dịch vụ và doanh thu khác trong năm báo cáo. Được tính bằng lũy kế phát sinh bên Có tài khoản 511 đối ứng Nợ các tài khoản 111, 112, 131,…. </w:t>
      </w:r>
    </w:p>
    <w:p>
      <w:pPr>
        <w:pStyle w:val="BodyText"/>
        <w:numPr>
          <w:ilvl w:val="1"/>
          <w:numId w:val="2"/>
        </w:numPr>
        <w:tabs>
          <w:tab w:val="clear" w:pos="709"/>
          <w:tab w:val="left" w:pos="1418" w:leader="none"/>
        </w:tabs>
        <w:bidi w:val="0"/>
        <w:spacing w:before="0" w:after="0"/>
        <w:ind w:hanging="283" w:left="1418"/>
        <w:jc w:val="left"/>
        <w:rPr/>
      </w:pPr>
      <w:r>
        <w:rPr>
          <w:rStyle w:val="Strong"/>
        </w:rPr>
        <w:t>Các khoản giảm trừ doanh thu (Mã số 02):</w:t>
      </w:r>
      <w:r>
        <w:rPr/>
        <w:t xml:space="preserve"> Tổng hợp các khoản được ghi giảm trừ vào tổng doanh thu trong năm, bao gồm chiết khấu thương mại, giảm giá hàng bán, hàng bán bị trả lại trong kỳ báo cáo. Được tính bằng lũy kế phát sinh bên Nợ tài khoản 511 đối ứng Có tài khoản 521. </w:t>
      </w:r>
    </w:p>
    <w:p>
      <w:pPr>
        <w:pStyle w:val="BodyText"/>
        <w:numPr>
          <w:ilvl w:val="1"/>
          <w:numId w:val="2"/>
        </w:numPr>
        <w:tabs>
          <w:tab w:val="clear" w:pos="709"/>
          <w:tab w:val="left" w:pos="1418" w:leader="none"/>
        </w:tabs>
        <w:bidi w:val="0"/>
        <w:spacing w:before="0" w:after="0"/>
        <w:ind w:hanging="283" w:left="1418"/>
        <w:jc w:val="left"/>
        <w:rPr/>
      </w:pPr>
      <w:r>
        <w:rPr>
          <w:rStyle w:val="Strong"/>
        </w:rPr>
        <w:t>Doanh thu thuần về bán hàng và cung cấp dịch vụ (Mã số 10):</w:t>
      </w:r>
      <w:r>
        <w:rPr/>
        <w:t xml:space="preserve"> Là chênh lệch giữa doanh thu bán hàng và cung cấp dịch vụ với các khoản giảm trừ doanh thu. </w:t>
      </w:r>
      <w:r>
        <w:rPr>
          <w:rStyle w:val="Strong"/>
        </w:rPr>
        <w:t>Mã số 10 = Mã số 01 – Mã số 02</w:t>
      </w:r>
      <w:r>
        <w:rPr/>
        <w:t xml:space="preserve">. Đồng thời là tổng giá trị kết chuyển Nợ tài khoản 511 đối ứng Có tài khoản 911 cuối kỳ. </w:t>
      </w:r>
    </w:p>
    <w:p>
      <w:pPr>
        <w:pStyle w:val="BodyText"/>
        <w:numPr>
          <w:ilvl w:val="1"/>
          <w:numId w:val="2"/>
        </w:numPr>
        <w:tabs>
          <w:tab w:val="clear" w:pos="709"/>
          <w:tab w:val="left" w:pos="1418" w:leader="none"/>
        </w:tabs>
        <w:bidi w:val="0"/>
        <w:spacing w:before="0" w:after="0"/>
        <w:ind w:hanging="283" w:left="1418"/>
        <w:jc w:val="left"/>
        <w:rPr/>
      </w:pPr>
      <w:r>
        <w:rPr>
          <w:rStyle w:val="Strong"/>
        </w:rPr>
        <w:t>Giá vốn hàng bán (Mã số 11):</w:t>
      </w:r>
      <w:r>
        <w:rPr/>
        <w:t xml:space="preserve"> Là các loại chi phí cấu thành nên sản phẩm như chi phí nhân công, chi phí nguyên vật liệu, chi phí khấu hao và các chi phí khác. Được tính bằng tổng giá trị kết chuyển Nợ tài khoản 911 đối ứng Có tài khoản 632 cuối kỳ. </w:t>
      </w:r>
    </w:p>
    <w:p>
      <w:pPr>
        <w:pStyle w:val="BodyText"/>
        <w:numPr>
          <w:ilvl w:val="1"/>
          <w:numId w:val="2"/>
        </w:numPr>
        <w:tabs>
          <w:tab w:val="clear" w:pos="709"/>
          <w:tab w:val="left" w:pos="1418" w:leader="none"/>
        </w:tabs>
        <w:bidi w:val="0"/>
        <w:ind w:hanging="283" w:left="1418"/>
        <w:jc w:val="left"/>
        <w:rPr/>
      </w:pPr>
      <w:r>
        <w:rPr>
          <w:rStyle w:val="Strong"/>
        </w:rPr>
        <w:t>Lợi nhuận gộp về bán hàng và cung cấp dịch vụ (Mã số 20):</w:t>
      </w:r>
      <w:r>
        <w:rPr/>
        <w:t xml:space="preserve"> Là chênh lệch giữa doanh thu thuần về bán hàng và cung cấp dịch vụ với giá vốn hàng bán. </w:t>
      </w:r>
      <w:r>
        <w:rPr>
          <w:rStyle w:val="Strong"/>
        </w:rPr>
        <w:t>Mã số 20 = Mã số 10 – Mã số 11</w:t>
      </w:r>
      <w:r>
        <w:rPr/>
        <w:t xml:space="preserve">. </w:t>
      </w:r>
    </w:p>
    <w:p>
      <w:pPr>
        <w:pStyle w:val="Heading2"/>
        <w:bidi w:val="0"/>
        <w:jc w:val="left"/>
        <w:rPr/>
      </w:pPr>
      <w:r>
        <w:rPr/>
        <w:t>Phần 2. Bài tập đề thi đại lý thuế 2023 môn kế toán</w:t>
      </w:r>
    </w:p>
    <w:p>
      <w:pPr>
        <w:pStyle w:val="Heading3"/>
        <w:bidi w:val="0"/>
        <w:jc w:val="left"/>
        <w:rPr/>
      </w:pPr>
      <w:r>
        <w:rPr/>
        <w:t>Câu 1 (4 điểm): Trích một số nghiệp vụ kinh tế phát sinh của Công ty Gia Huy trong Quý II/N như sau: (Đơn vị tính: 1.000 đồng).</w:t>
      </w:r>
    </w:p>
    <w:p>
      <w:pPr>
        <w:pStyle w:val="BodyText"/>
        <w:numPr>
          <w:ilvl w:val="0"/>
          <w:numId w:val="3"/>
        </w:numPr>
        <w:tabs>
          <w:tab w:val="clear" w:pos="709"/>
          <w:tab w:val="left" w:pos="709" w:leader="none"/>
        </w:tabs>
        <w:bidi w:val="0"/>
        <w:ind w:hanging="283" w:left="709"/>
        <w:jc w:val="left"/>
        <w:rPr/>
      </w:pPr>
      <w:r>
        <w:rPr>
          <w:rStyle w:val="Strong"/>
        </w:rPr>
        <w:t>Công ty mang tài sản cố định (TSCĐ) vô hình A mang đi đổi lấy TSCĐ B. Nguyên giá của TSCĐ A là 600.000, giá trị khấu hao lũy kế của TSCĐ A là 470.000, giá trị hợp lý chưa có thuế GTGT của TSCĐ A là 190.000, thuế GTGT 10%. Giá trị hợp lý chưa có thuế GTGT của TSCĐ B là 400.000, thuế GTGT 10%. Công ty đã chuyển tiền gửi ngân hàng trả cho đối tác toàn bộ phần chênh lệch giá trị do trao đổi TSCĐ.</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rStyle w:val="Strong"/>
        </w:rPr>
        <w:t>1a.</w:t>
      </w:r>
      <w:r>
        <w:rPr/>
        <w:t xml:space="preserve"> Ghi giảm TSCĐ vô hình A:</w:t>
      </w:r>
    </w:p>
    <w:p>
      <w:pPr>
        <w:pStyle w:val="BodyText"/>
        <w:numPr>
          <w:ilvl w:val="2"/>
          <w:numId w:val="3"/>
        </w:numPr>
        <w:tabs>
          <w:tab w:val="clear" w:pos="709"/>
          <w:tab w:val="left" w:pos="2127" w:leader="none"/>
        </w:tabs>
        <w:bidi w:val="0"/>
        <w:spacing w:before="0" w:after="0"/>
        <w:ind w:hanging="283" w:left="2127"/>
        <w:jc w:val="left"/>
        <w:rPr/>
      </w:pPr>
      <w:r>
        <w:rPr/>
        <w:t xml:space="preserve">Nợ Tk 2143: 470.000 </w:t>
      </w:r>
    </w:p>
    <w:p>
      <w:pPr>
        <w:pStyle w:val="BodyText"/>
        <w:numPr>
          <w:ilvl w:val="2"/>
          <w:numId w:val="3"/>
        </w:numPr>
        <w:tabs>
          <w:tab w:val="clear" w:pos="709"/>
          <w:tab w:val="left" w:pos="2127" w:leader="none"/>
        </w:tabs>
        <w:bidi w:val="0"/>
        <w:spacing w:before="0" w:after="0"/>
        <w:ind w:hanging="283" w:left="2127"/>
        <w:jc w:val="left"/>
        <w:rPr/>
      </w:pPr>
      <w:r>
        <w:rPr/>
        <w:t xml:space="preserve">Nợ Tk 811: 130.000 </w:t>
      </w:r>
    </w:p>
    <w:p>
      <w:pPr>
        <w:pStyle w:val="BodyText"/>
        <w:numPr>
          <w:ilvl w:val="2"/>
          <w:numId w:val="3"/>
        </w:numPr>
        <w:tabs>
          <w:tab w:val="clear" w:pos="709"/>
          <w:tab w:val="left" w:pos="2127" w:leader="none"/>
        </w:tabs>
        <w:bidi w:val="0"/>
        <w:spacing w:before="0" w:after="0"/>
        <w:ind w:hanging="283" w:left="2127"/>
        <w:jc w:val="left"/>
        <w:rPr/>
      </w:pPr>
      <w:r>
        <w:rPr/>
        <w:t xml:space="preserve">Có tk 213 “A”: 600.000 </w:t>
      </w:r>
    </w:p>
    <w:p>
      <w:pPr>
        <w:pStyle w:val="BodyText"/>
        <w:numPr>
          <w:ilvl w:val="1"/>
          <w:numId w:val="3"/>
        </w:numPr>
        <w:tabs>
          <w:tab w:val="clear" w:pos="709"/>
          <w:tab w:val="left" w:pos="1418" w:leader="none"/>
        </w:tabs>
        <w:bidi w:val="0"/>
        <w:spacing w:before="0" w:after="0"/>
        <w:ind w:hanging="283" w:left="1418"/>
        <w:jc w:val="left"/>
        <w:rPr/>
      </w:pPr>
      <w:r>
        <w:rPr>
          <w:rStyle w:val="Strong"/>
        </w:rPr>
        <w:t>1b.</w:t>
      </w:r>
      <w:r>
        <w:rPr/>
        <w:t xml:space="preserve"> Ghi tăng TSCĐ vô hình B và các chi phí liên quan:</w:t>
      </w:r>
    </w:p>
    <w:p>
      <w:pPr>
        <w:pStyle w:val="BodyText"/>
        <w:numPr>
          <w:ilvl w:val="2"/>
          <w:numId w:val="3"/>
        </w:numPr>
        <w:tabs>
          <w:tab w:val="clear" w:pos="709"/>
          <w:tab w:val="left" w:pos="2127" w:leader="none"/>
        </w:tabs>
        <w:bidi w:val="0"/>
        <w:spacing w:before="0" w:after="0"/>
        <w:ind w:hanging="283" w:left="2127"/>
        <w:jc w:val="left"/>
        <w:rPr/>
      </w:pPr>
      <w:r>
        <w:rPr/>
        <w:t xml:space="preserve">Nợ TK 213 “B”: 400.000 </w:t>
      </w:r>
    </w:p>
    <w:p>
      <w:pPr>
        <w:pStyle w:val="BodyText"/>
        <w:numPr>
          <w:ilvl w:val="2"/>
          <w:numId w:val="3"/>
        </w:numPr>
        <w:tabs>
          <w:tab w:val="clear" w:pos="709"/>
          <w:tab w:val="left" w:pos="2127" w:leader="none"/>
        </w:tabs>
        <w:bidi w:val="0"/>
        <w:spacing w:before="0" w:after="0"/>
        <w:ind w:hanging="283" w:left="2127"/>
        <w:jc w:val="left"/>
        <w:rPr/>
      </w:pPr>
      <w:r>
        <w:rPr/>
        <w:t xml:space="preserve">Nợ TK 133 “B”: 40.000 </w:t>
      </w:r>
    </w:p>
    <w:p>
      <w:pPr>
        <w:pStyle w:val="BodyText"/>
        <w:numPr>
          <w:ilvl w:val="2"/>
          <w:numId w:val="3"/>
        </w:numPr>
        <w:tabs>
          <w:tab w:val="clear" w:pos="709"/>
          <w:tab w:val="left" w:pos="2127" w:leader="none"/>
        </w:tabs>
        <w:bidi w:val="0"/>
        <w:spacing w:before="0" w:after="0"/>
        <w:ind w:hanging="283" w:left="2127"/>
        <w:jc w:val="left"/>
        <w:rPr/>
      </w:pPr>
      <w:r>
        <w:rPr/>
        <w:t xml:space="preserve">Có TK 711: 190.000 </w:t>
      </w:r>
    </w:p>
    <w:p>
      <w:pPr>
        <w:pStyle w:val="BodyText"/>
        <w:numPr>
          <w:ilvl w:val="2"/>
          <w:numId w:val="3"/>
        </w:numPr>
        <w:tabs>
          <w:tab w:val="clear" w:pos="709"/>
          <w:tab w:val="left" w:pos="2127" w:leader="none"/>
        </w:tabs>
        <w:bidi w:val="0"/>
        <w:spacing w:before="0" w:after="0"/>
        <w:ind w:hanging="283" w:left="2127"/>
        <w:jc w:val="left"/>
        <w:rPr/>
      </w:pPr>
      <w:r>
        <w:rPr/>
        <w:t xml:space="preserve">Có TK 3331: 19.000 </w:t>
      </w:r>
    </w:p>
    <w:p>
      <w:pPr>
        <w:pStyle w:val="BodyText"/>
        <w:numPr>
          <w:ilvl w:val="2"/>
          <w:numId w:val="3"/>
        </w:numPr>
        <w:tabs>
          <w:tab w:val="clear" w:pos="709"/>
          <w:tab w:val="left" w:pos="2127" w:leader="none"/>
        </w:tabs>
        <w:bidi w:val="0"/>
        <w:spacing w:before="0" w:after="0"/>
        <w:ind w:hanging="283" w:left="2127"/>
        <w:jc w:val="left"/>
        <w:rPr/>
      </w:pPr>
      <w:r>
        <w:rPr/>
        <w:t xml:space="preserve">Có TK 112: 231.000 </w:t>
      </w:r>
    </w:p>
    <w:p>
      <w:pPr>
        <w:pStyle w:val="BodyText"/>
        <w:numPr>
          <w:ilvl w:val="0"/>
          <w:numId w:val="3"/>
        </w:numPr>
        <w:tabs>
          <w:tab w:val="clear" w:pos="709"/>
          <w:tab w:val="left" w:pos="709" w:leader="none"/>
        </w:tabs>
        <w:bidi w:val="0"/>
        <w:ind w:hanging="283" w:left="709"/>
        <w:jc w:val="left"/>
        <w:rPr/>
      </w:pPr>
      <w:r>
        <w:rPr>
          <w:rStyle w:val="Strong"/>
        </w:rPr>
        <w:t>Vay ngắn hạn ngân hàng mua một lô vật liệu C về nhập kho, giá vật liệu niêm yết chưa có thuế GTGT là 500.000, thuế GTGT 10%. Do mua vật liệu với khối lượng lớn nên Công ty đã được người bán cho hưởng khoản chiết khấu thương mại 1% trừ trực tiếp vào giá mua vật liệu trên hóa đơn. Vật liệu X đã về nhập kho đủ.</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152: 495.000 (500.000 * 99%) </w:t>
      </w:r>
    </w:p>
    <w:p>
      <w:pPr>
        <w:pStyle w:val="BodyText"/>
        <w:numPr>
          <w:ilvl w:val="1"/>
          <w:numId w:val="3"/>
        </w:numPr>
        <w:tabs>
          <w:tab w:val="clear" w:pos="709"/>
          <w:tab w:val="left" w:pos="1418" w:leader="none"/>
        </w:tabs>
        <w:bidi w:val="0"/>
        <w:spacing w:before="0" w:after="0"/>
        <w:ind w:hanging="283" w:left="1418"/>
        <w:jc w:val="left"/>
        <w:rPr/>
      </w:pPr>
      <w:r>
        <w:rPr/>
        <w:t xml:space="preserve">Nợ Tk 133: 49.500 </w:t>
      </w:r>
    </w:p>
    <w:p>
      <w:pPr>
        <w:pStyle w:val="BodyText"/>
        <w:numPr>
          <w:ilvl w:val="1"/>
          <w:numId w:val="3"/>
        </w:numPr>
        <w:tabs>
          <w:tab w:val="clear" w:pos="709"/>
          <w:tab w:val="left" w:pos="1418" w:leader="none"/>
        </w:tabs>
        <w:bidi w:val="0"/>
        <w:spacing w:before="0" w:after="0"/>
        <w:ind w:hanging="283" w:left="1418"/>
        <w:jc w:val="left"/>
        <w:rPr/>
      </w:pPr>
      <w:r>
        <w:rPr/>
        <w:t xml:space="preserve">Có tài khoản 341: 544.500 </w:t>
      </w:r>
    </w:p>
    <w:p>
      <w:pPr>
        <w:pStyle w:val="BodyText"/>
        <w:numPr>
          <w:ilvl w:val="0"/>
          <w:numId w:val="3"/>
        </w:numPr>
        <w:tabs>
          <w:tab w:val="clear" w:pos="709"/>
          <w:tab w:val="left" w:pos="709" w:leader="none"/>
        </w:tabs>
        <w:bidi w:val="0"/>
        <w:ind w:hanging="283" w:left="709"/>
        <w:jc w:val="left"/>
        <w:rPr/>
      </w:pPr>
      <w:r>
        <w:rPr>
          <w:rStyle w:val="Strong"/>
        </w:rPr>
        <w:t>Công ty D đã chấp nhận thanh toán cho lô hàng mà Công ty đã gửi đi bán từ kỳ trước, giá vốn hàng gửi bán là 530.000, giá bán lô hàng chưa có thuế GTGT là 600.000, thuế GTGT 10%. Công ty đã thanh toán ngay 50% giá trị lô hàng bằng tiền gửi ngân hàng, số còn lại Công ty thanh toán sau 15 ngày kể từ ngày giao hàng.</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rStyle w:val="Strong"/>
        </w:rPr>
        <w:t>3a.</w:t>
      </w:r>
      <w:r>
        <w:rPr/>
        <w:t xml:space="preserve"> Kết chuyển giá vốn hàng bán:</w:t>
      </w:r>
    </w:p>
    <w:p>
      <w:pPr>
        <w:pStyle w:val="BodyText"/>
        <w:numPr>
          <w:ilvl w:val="2"/>
          <w:numId w:val="3"/>
        </w:numPr>
        <w:tabs>
          <w:tab w:val="clear" w:pos="709"/>
          <w:tab w:val="left" w:pos="2127" w:leader="none"/>
        </w:tabs>
        <w:bidi w:val="0"/>
        <w:spacing w:before="0" w:after="0"/>
        <w:ind w:hanging="283" w:left="2127"/>
        <w:jc w:val="left"/>
        <w:rPr/>
      </w:pPr>
      <w:r>
        <w:rPr/>
        <w:t xml:space="preserve">Nợ Tk 632: 530.000 </w:t>
      </w:r>
    </w:p>
    <w:p>
      <w:pPr>
        <w:pStyle w:val="BodyText"/>
        <w:numPr>
          <w:ilvl w:val="2"/>
          <w:numId w:val="3"/>
        </w:numPr>
        <w:tabs>
          <w:tab w:val="clear" w:pos="709"/>
          <w:tab w:val="left" w:pos="2127" w:leader="none"/>
        </w:tabs>
        <w:bidi w:val="0"/>
        <w:spacing w:before="0" w:after="0"/>
        <w:ind w:hanging="283" w:left="2127"/>
        <w:jc w:val="left"/>
        <w:rPr/>
      </w:pPr>
      <w:r>
        <w:rPr/>
        <w:t xml:space="preserve">Có TK 157: 530.000 </w:t>
      </w:r>
    </w:p>
    <w:p>
      <w:pPr>
        <w:pStyle w:val="BodyText"/>
        <w:numPr>
          <w:ilvl w:val="1"/>
          <w:numId w:val="3"/>
        </w:numPr>
        <w:tabs>
          <w:tab w:val="clear" w:pos="709"/>
          <w:tab w:val="left" w:pos="1418" w:leader="none"/>
        </w:tabs>
        <w:bidi w:val="0"/>
        <w:spacing w:before="0" w:after="0"/>
        <w:ind w:hanging="283" w:left="1418"/>
        <w:jc w:val="left"/>
        <w:rPr/>
      </w:pPr>
      <w:r>
        <w:rPr>
          <w:rStyle w:val="Strong"/>
        </w:rPr>
        <w:t>3b.</w:t>
      </w:r>
      <w:r>
        <w:rPr/>
        <w:t xml:space="preserve"> Ghi nhận doanh thu và khoản phải thu:</w:t>
      </w:r>
    </w:p>
    <w:p>
      <w:pPr>
        <w:pStyle w:val="BodyText"/>
        <w:numPr>
          <w:ilvl w:val="2"/>
          <w:numId w:val="3"/>
        </w:numPr>
        <w:tabs>
          <w:tab w:val="clear" w:pos="709"/>
          <w:tab w:val="left" w:pos="2127" w:leader="none"/>
        </w:tabs>
        <w:bidi w:val="0"/>
        <w:spacing w:before="0" w:after="0"/>
        <w:ind w:hanging="283" w:left="2127"/>
        <w:jc w:val="left"/>
        <w:rPr/>
      </w:pPr>
      <w:r>
        <w:rPr/>
        <w:t xml:space="preserve">Nợ TK 112: 330.000 </w:t>
      </w:r>
    </w:p>
    <w:p>
      <w:pPr>
        <w:pStyle w:val="BodyText"/>
        <w:numPr>
          <w:ilvl w:val="2"/>
          <w:numId w:val="3"/>
        </w:numPr>
        <w:tabs>
          <w:tab w:val="clear" w:pos="709"/>
          <w:tab w:val="left" w:pos="2127" w:leader="none"/>
        </w:tabs>
        <w:bidi w:val="0"/>
        <w:spacing w:before="0" w:after="0"/>
        <w:ind w:hanging="283" w:left="2127"/>
        <w:jc w:val="left"/>
        <w:rPr/>
      </w:pPr>
      <w:r>
        <w:rPr/>
        <w:t xml:space="preserve">Nợ TK 131 “A”: 330.000 </w:t>
      </w:r>
    </w:p>
    <w:p>
      <w:pPr>
        <w:pStyle w:val="BodyText"/>
        <w:numPr>
          <w:ilvl w:val="2"/>
          <w:numId w:val="3"/>
        </w:numPr>
        <w:tabs>
          <w:tab w:val="clear" w:pos="709"/>
          <w:tab w:val="left" w:pos="2127" w:leader="none"/>
        </w:tabs>
        <w:bidi w:val="0"/>
        <w:spacing w:before="0" w:after="0"/>
        <w:ind w:hanging="283" w:left="2127"/>
        <w:jc w:val="left"/>
        <w:rPr/>
      </w:pPr>
      <w:r>
        <w:rPr/>
        <w:t xml:space="preserve">Có TK 511: 600.000 </w:t>
      </w:r>
    </w:p>
    <w:p>
      <w:pPr>
        <w:pStyle w:val="BodyText"/>
        <w:numPr>
          <w:ilvl w:val="2"/>
          <w:numId w:val="3"/>
        </w:numPr>
        <w:tabs>
          <w:tab w:val="clear" w:pos="709"/>
          <w:tab w:val="left" w:pos="2127" w:leader="none"/>
        </w:tabs>
        <w:bidi w:val="0"/>
        <w:spacing w:before="0" w:after="0"/>
        <w:ind w:hanging="283" w:left="2127"/>
        <w:jc w:val="left"/>
        <w:rPr/>
      </w:pPr>
      <w:r>
        <w:rPr/>
        <w:t xml:space="preserve">Có tài khoản 3331: 60.000 </w:t>
      </w:r>
    </w:p>
    <w:p>
      <w:pPr>
        <w:pStyle w:val="BodyText"/>
        <w:numPr>
          <w:ilvl w:val="0"/>
          <w:numId w:val="3"/>
        </w:numPr>
        <w:tabs>
          <w:tab w:val="clear" w:pos="709"/>
          <w:tab w:val="left" w:pos="709" w:leader="none"/>
        </w:tabs>
        <w:bidi w:val="0"/>
        <w:ind w:hanging="283" w:left="709"/>
        <w:jc w:val="left"/>
        <w:rPr/>
      </w:pPr>
      <w:r>
        <w:rPr>
          <w:rStyle w:val="Strong"/>
        </w:rPr>
        <w:t>Nhận được Giấy báo Có của Ngân hàng về khoản nợ phải thu khó đòi của Công ty X đã xử lý xóa sổ nay đòi được, số tiền là 120.000.</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112: 120.000 </w:t>
      </w:r>
    </w:p>
    <w:p>
      <w:pPr>
        <w:pStyle w:val="BodyText"/>
        <w:numPr>
          <w:ilvl w:val="1"/>
          <w:numId w:val="3"/>
        </w:numPr>
        <w:tabs>
          <w:tab w:val="clear" w:pos="709"/>
          <w:tab w:val="left" w:pos="1418" w:leader="none"/>
        </w:tabs>
        <w:bidi w:val="0"/>
        <w:spacing w:before="0" w:after="0"/>
        <w:ind w:hanging="283" w:left="1418"/>
        <w:jc w:val="left"/>
        <w:rPr/>
      </w:pPr>
      <w:r>
        <w:rPr/>
        <w:t xml:space="preserve">Có Tk 711: 120.000 </w:t>
      </w:r>
    </w:p>
    <w:p>
      <w:pPr>
        <w:pStyle w:val="BodyText"/>
        <w:numPr>
          <w:ilvl w:val="0"/>
          <w:numId w:val="3"/>
        </w:numPr>
        <w:tabs>
          <w:tab w:val="clear" w:pos="709"/>
          <w:tab w:val="left" w:pos="709" w:leader="none"/>
        </w:tabs>
        <w:bidi w:val="0"/>
        <w:ind w:hanging="283" w:left="709"/>
        <w:jc w:val="left"/>
        <w:rPr/>
      </w:pPr>
      <w:r>
        <w:rPr>
          <w:rStyle w:val="Strong"/>
        </w:rPr>
        <w:t>Công ty chuyển 20.000 USD bằng tiền gửi ngân hàng để trả nợ khoản vay ngắn hạn ngân hàng, tỷ giá ghi sổ của khoản nợ vay là 1 USD = 23.100 đồng, tỷ giá ghi sổ của tiền gửi ngân hàng là 1 USD = 23.150 đồng, tỷ giá giao dịch thực tế là 1 USD = 23.200 đồng.</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341: 462.000 (20.000 * 23.100) </w:t>
      </w:r>
    </w:p>
    <w:p>
      <w:pPr>
        <w:pStyle w:val="BodyText"/>
        <w:numPr>
          <w:ilvl w:val="1"/>
          <w:numId w:val="3"/>
        </w:numPr>
        <w:tabs>
          <w:tab w:val="clear" w:pos="709"/>
          <w:tab w:val="left" w:pos="1418" w:leader="none"/>
        </w:tabs>
        <w:bidi w:val="0"/>
        <w:spacing w:before="0" w:after="0"/>
        <w:ind w:hanging="283" w:left="1418"/>
        <w:jc w:val="left"/>
        <w:rPr/>
      </w:pPr>
      <w:r>
        <w:rPr/>
        <w:t xml:space="preserve">Nợ Tk 635: 1.000 (20.000 * (23.150 - 23.100)) </w:t>
      </w:r>
    </w:p>
    <w:p>
      <w:pPr>
        <w:pStyle w:val="BodyText"/>
        <w:numPr>
          <w:ilvl w:val="1"/>
          <w:numId w:val="3"/>
        </w:numPr>
        <w:tabs>
          <w:tab w:val="clear" w:pos="709"/>
          <w:tab w:val="left" w:pos="1418" w:leader="none"/>
        </w:tabs>
        <w:bidi w:val="0"/>
        <w:spacing w:before="0" w:after="0"/>
        <w:ind w:hanging="283" w:left="1418"/>
        <w:jc w:val="left"/>
        <w:rPr/>
      </w:pPr>
      <w:r>
        <w:rPr/>
        <w:t xml:space="preserve">Có TK 112: 463.000 (20.000 * 23.150) </w:t>
      </w:r>
    </w:p>
    <w:p>
      <w:pPr>
        <w:pStyle w:val="BodyText"/>
        <w:numPr>
          <w:ilvl w:val="0"/>
          <w:numId w:val="3"/>
        </w:numPr>
        <w:tabs>
          <w:tab w:val="clear" w:pos="709"/>
          <w:tab w:val="left" w:pos="709" w:leader="none"/>
        </w:tabs>
        <w:bidi w:val="0"/>
        <w:ind w:hanging="283" w:left="709"/>
        <w:jc w:val="left"/>
        <w:rPr/>
      </w:pPr>
      <w:r>
        <w:rPr>
          <w:rStyle w:val="Strong"/>
        </w:rPr>
        <w:t>Xuất kho nguyên liệu Y chuyển đến Công ty M để thuê gia công chế biến, giá xuất kho nguyên liệu là 150.000.</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154: 150.000 </w:t>
      </w:r>
    </w:p>
    <w:p>
      <w:pPr>
        <w:pStyle w:val="BodyText"/>
        <w:numPr>
          <w:ilvl w:val="1"/>
          <w:numId w:val="3"/>
        </w:numPr>
        <w:tabs>
          <w:tab w:val="clear" w:pos="709"/>
          <w:tab w:val="left" w:pos="1418" w:leader="none"/>
        </w:tabs>
        <w:bidi w:val="0"/>
        <w:spacing w:before="0" w:after="0"/>
        <w:ind w:hanging="283" w:left="1418"/>
        <w:jc w:val="left"/>
        <w:rPr/>
      </w:pPr>
      <w:r>
        <w:rPr/>
        <w:t xml:space="preserve">Có Tk 152: 150.000 </w:t>
      </w:r>
    </w:p>
    <w:p>
      <w:pPr>
        <w:pStyle w:val="BodyText"/>
        <w:numPr>
          <w:ilvl w:val="0"/>
          <w:numId w:val="3"/>
        </w:numPr>
        <w:tabs>
          <w:tab w:val="clear" w:pos="709"/>
          <w:tab w:val="left" w:pos="709" w:leader="none"/>
        </w:tabs>
        <w:bidi w:val="0"/>
        <w:ind w:hanging="283" w:left="709"/>
        <w:jc w:val="left"/>
        <w:rPr/>
      </w:pPr>
      <w:r>
        <w:rPr>
          <w:rStyle w:val="Strong"/>
        </w:rPr>
        <w:t>Phân bổ chi phí sửa chữa lớn TSCĐ vào chi phí sản xuất kinh doanh trong kỳ như sau:</w:t>
      </w:r>
    </w:p>
    <w:p>
      <w:pPr>
        <w:pStyle w:val="BodyText"/>
        <w:numPr>
          <w:ilvl w:val="1"/>
          <w:numId w:val="3"/>
        </w:numPr>
        <w:tabs>
          <w:tab w:val="clear" w:pos="709"/>
          <w:tab w:val="left" w:pos="1418" w:leader="none"/>
        </w:tabs>
        <w:bidi w:val="0"/>
        <w:spacing w:before="0" w:after="0"/>
        <w:ind w:hanging="283" w:left="1418"/>
        <w:jc w:val="left"/>
        <w:rPr/>
      </w:pPr>
      <w:r>
        <w:rPr/>
        <w:t xml:space="preserve">Chi phí sửa chữa lớn TSCĐ phân bổ cho bộ phận sản xuất sản phẩm là 25.000 </w:t>
      </w:r>
    </w:p>
    <w:p>
      <w:pPr>
        <w:pStyle w:val="BodyText"/>
        <w:numPr>
          <w:ilvl w:val="1"/>
          <w:numId w:val="3"/>
        </w:numPr>
        <w:tabs>
          <w:tab w:val="clear" w:pos="709"/>
          <w:tab w:val="left" w:pos="1418" w:leader="none"/>
        </w:tabs>
        <w:bidi w:val="0"/>
        <w:spacing w:before="0" w:after="0"/>
        <w:ind w:hanging="283" w:left="1418"/>
        <w:jc w:val="left"/>
        <w:rPr/>
      </w:pPr>
      <w:r>
        <w:rPr/>
        <w:t xml:space="preserve">Chi phí sửa chữa lớn TSCĐ phân bổ cho bộ phận bán hàng là 10.000 </w:t>
      </w:r>
    </w:p>
    <w:p>
      <w:pPr>
        <w:pStyle w:val="BodyText"/>
        <w:numPr>
          <w:ilvl w:val="1"/>
          <w:numId w:val="3"/>
        </w:numPr>
        <w:tabs>
          <w:tab w:val="clear" w:pos="709"/>
          <w:tab w:val="left" w:pos="1418" w:leader="none"/>
        </w:tabs>
        <w:bidi w:val="0"/>
        <w:ind w:hanging="283" w:left="1418"/>
        <w:jc w:val="left"/>
        <w:rPr/>
      </w:pPr>
      <w:r>
        <w:rPr/>
        <w:t xml:space="preserve">Chi phí sửa chữa lớn TSCĐ phân bổ cho bộ phận quản lý doanh nghiệp là 15.000 </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627: 25.000 </w:t>
      </w:r>
    </w:p>
    <w:p>
      <w:pPr>
        <w:pStyle w:val="BodyText"/>
        <w:numPr>
          <w:ilvl w:val="1"/>
          <w:numId w:val="3"/>
        </w:numPr>
        <w:tabs>
          <w:tab w:val="clear" w:pos="709"/>
          <w:tab w:val="left" w:pos="1418" w:leader="none"/>
        </w:tabs>
        <w:bidi w:val="0"/>
        <w:spacing w:before="0" w:after="0"/>
        <w:ind w:hanging="283" w:left="1418"/>
        <w:jc w:val="left"/>
        <w:rPr/>
      </w:pPr>
      <w:r>
        <w:rPr/>
        <w:t xml:space="preserve">Nợ TK 641: 10.000 </w:t>
      </w:r>
    </w:p>
    <w:p>
      <w:pPr>
        <w:pStyle w:val="BodyText"/>
        <w:numPr>
          <w:ilvl w:val="1"/>
          <w:numId w:val="3"/>
        </w:numPr>
        <w:tabs>
          <w:tab w:val="clear" w:pos="709"/>
          <w:tab w:val="left" w:pos="1418" w:leader="none"/>
        </w:tabs>
        <w:bidi w:val="0"/>
        <w:spacing w:before="0" w:after="0"/>
        <w:ind w:hanging="283" w:left="1418"/>
        <w:jc w:val="left"/>
        <w:rPr/>
      </w:pPr>
      <w:r>
        <w:rPr/>
        <w:t xml:space="preserve">Nợ Tk 642: 15.000 </w:t>
      </w:r>
    </w:p>
    <w:p>
      <w:pPr>
        <w:pStyle w:val="BodyText"/>
        <w:numPr>
          <w:ilvl w:val="1"/>
          <w:numId w:val="3"/>
        </w:numPr>
        <w:tabs>
          <w:tab w:val="clear" w:pos="709"/>
          <w:tab w:val="left" w:pos="1418" w:leader="none"/>
        </w:tabs>
        <w:bidi w:val="0"/>
        <w:spacing w:before="0" w:after="0"/>
        <w:ind w:hanging="283" w:left="1418"/>
        <w:jc w:val="left"/>
        <w:rPr/>
      </w:pPr>
      <w:r>
        <w:rPr/>
        <w:t xml:space="preserve">Có TK242: 50.000 </w:t>
      </w:r>
    </w:p>
    <w:p>
      <w:pPr>
        <w:pStyle w:val="BodyText"/>
        <w:numPr>
          <w:ilvl w:val="0"/>
          <w:numId w:val="3"/>
        </w:numPr>
        <w:tabs>
          <w:tab w:val="clear" w:pos="709"/>
          <w:tab w:val="left" w:pos="709" w:leader="none"/>
        </w:tabs>
        <w:bidi w:val="0"/>
        <w:ind w:hanging="283" w:left="709"/>
        <w:jc w:val="left"/>
        <w:rPr/>
      </w:pPr>
      <w:r>
        <w:rPr>
          <w:rStyle w:val="Strong"/>
        </w:rPr>
        <w:t>Khách hàng M trả tiền thuê bất động sản đầu tư trong kỳ bằng tiền gửi ngân hàng, giá cho thuê bất động sản đầu tư trong kỳ chưa có thuế GTGT là 120.000, thuế GTGT 10%, chi phí khấu hao bất động sản đầu tư cho thuê trong kỳ là 70.000.</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rStyle w:val="Strong"/>
        </w:rPr>
        <w:t>8a.</w:t>
      </w:r>
      <w:r>
        <w:rPr/>
        <w:t xml:space="preserve"> Ghi nhận doanh thu cho thuê:</w:t>
      </w:r>
    </w:p>
    <w:p>
      <w:pPr>
        <w:pStyle w:val="BodyText"/>
        <w:numPr>
          <w:ilvl w:val="2"/>
          <w:numId w:val="3"/>
        </w:numPr>
        <w:tabs>
          <w:tab w:val="clear" w:pos="709"/>
          <w:tab w:val="left" w:pos="2127" w:leader="none"/>
        </w:tabs>
        <w:bidi w:val="0"/>
        <w:spacing w:before="0" w:after="0"/>
        <w:ind w:hanging="283" w:left="2127"/>
        <w:jc w:val="left"/>
        <w:rPr/>
      </w:pPr>
      <w:r>
        <w:rPr/>
        <w:t xml:space="preserve">Nợ Tk 112: 132.000 </w:t>
      </w:r>
    </w:p>
    <w:p>
      <w:pPr>
        <w:pStyle w:val="BodyText"/>
        <w:numPr>
          <w:ilvl w:val="2"/>
          <w:numId w:val="3"/>
        </w:numPr>
        <w:tabs>
          <w:tab w:val="clear" w:pos="709"/>
          <w:tab w:val="left" w:pos="2127" w:leader="none"/>
        </w:tabs>
        <w:bidi w:val="0"/>
        <w:spacing w:before="0" w:after="0"/>
        <w:ind w:hanging="283" w:left="2127"/>
        <w:jc w:val="left"/>
        <w:rPr/>
      </w:pPr>
      <w:r>
        <w:rPr/>
        <w:t xml:space="preserve">Có TK 5117: 120.000 </w:t>
      </w:r>
    </w:p>
    <w:p>
      <w:pPr>
        <w:pStyle w:val="BodyText"/>
        <w:numPr>
          <w:ilvl w:val="2"/>
          <w:numId w:val="3"/>
        </w:numPr>
        <w:tabs>
          <w:tab w:val="clear" w:pos="709"/>
          <w:tab w:val="left" w:pos="2127" w:leader="none"/>
        </w:tabs>
        <w:bidi w:val="0"/>
        <w:spacing w:before="0" w:after="0"/>
        <w:ind w:hanging="283" w:left="2127"/>
        <w:jc w:val="left"/>
        <w:rPr/>
      </w:pPr>
      <w:r>
        <w:rPr/>
        <w:t xml:space="preserve">Có TK 3331: 12.000 </w:t>
      </w:r>
    </w:p>
    <w:p>
      <w:pPr>
        <w:pStyle w:val="BodyText"/>
        <w:numPr>
          <w:ilvl w:val="1"/>
          <w:numId w:val="3"/>
        </w:numPr>
        <w:tabs>
          <w:tab w:val="clear" w:pos="709"/>
          <w:tab w:val="left" w:pos="1418" w:leader="none"/>
        </w:tabs>
        <w:bidi w:val="0"/>
        <w:spacing w:before="0" w:after="0"/>
        <w:ind w:hanging="283" w:left="1418"/>
        <w:jc w:val="left"/>
        <w:rPr/>
      </w:pPr>
      <w:r>
        <w:rPr>
          <w:rStyle w:val="Strong"/>
        </w:rPr>
        <w:t>8b.</w:t>
      </w:r>
      <w:r>
        <w:rPr/>
        <w:t xml:space="preserve"> Ghi nhận chi phí khấu hao:</w:t>
      </w:r>
    </w:p>
    <w:p>
      <w:pPr>
        <w:pStyle w:val="BodyText"/>
        <w:numPr>
          <w:ilvl w:val="2"/>
          <w:numId w:val="3"/>
        </w:numPr>
        <w:tabs>
          <w:tab w:val="clear" w:pos="709"/>
          <w:tab w:val="left" w:pos="2127" w:leader="none"/>
        </w:tabs>
        <w:bidi w:val="0"/>
        <w:spacing w:before="0" w:after="0"/>
        <w:ind w:hanging="283" w:left="2127"/>
        <w:jc w:val="left"/>
        <w:rPr/>
      </w:pPr>
      <w:r>
        <w:rPr/>
        <w:t xml:space="preserve">Nợ TK: 70.000 </w:t>
      </w:r>
    </w:p>
    <w:p>
      <w:pPr>
        <w:pStyle w:val="BodyText"/>
        <w:numPr>
          <w:ilvl w:val="2"/>
          <w:numId w:val="3"/>
        </w:numPr>
        <w:tabs>
          <w:tab w:val="clear" w:pos="709"/>
          <w:tab w:val="left" w:pos="2127" w:leader="none"/>
        </w:tabs>
        <w:bidi w:val="0"/>
        <w:spacing w:before="0" w:after="0"/>
        <w:ind w:hanging="283" w:left="2127"/>
        <w:jc w:val="left"/>
        <w:rPr/>
      </w:pPr>
      <w:r>
        <w:rPr/>
        <w:t xml:space="preserve">Có TK 2147: 70.000 </w:t>
      </w:r>
    </w:p>
    <w:p>
      <w:pPr>
        <w:pStyle w:val="BodyText"/>
        <w:numPr>
          <w:ilvl w:val="0"/>
          <w:numId w:val="3"/>
        </w:numPr>
        <w:tabs>
          <w:tab w:val="clear" w:pos="709"/>
          <w:tab w:val="left" w:pos="709" w:leader="none"/>
        </w:tabs>
        <w:bidi w:val="0"/>
        <w:ind w:hanging="283" w:left="709"/>
        <w:jc w:val="left"/>
        <w:rPr/>
      </w:pPr>
      <w:r>
        <w:rPr>
          <w:rStyle w:val="Strong"/>
        </w:rPr>
        <w:t>Cuối quý 30/6/N, công ty kiểm tra phát hiện thiếu Vật liệu M và dụng cụ X bị thiếu, đều chưa rõ nguyên nhân chờ xử lý:</w:t>
      </w:r>
    </w:p>
    <w:p>
      <w:pPr>
        <w:pStyle w:val="BodyText"/>
        <w:numPr>
          <w:ilvl w:val="1"/>
          <w:numId w:val="3"/>
        </w:numPr>
        <w:tabs>
          <w:tab w:val="clear" w:pos="709"/>
          <w:tab w:val="left" w:pos="1418" w:leader="none"/>
        </w:tabs>
        <w:bidi w:val="0"/>
        <w:spacing w:before="0" w:after="0"/>
        <w:ind w:hanging="283" w:left="1418"/>
        <w:jc w:val="left"/>
        <w:rPr/>
      </w:pPr>
      <w:r>
        <w:rPr/>
        <w:t xml:space="preserve">Vật liệu M bị thiếu 500kg, giá trị là 40.000 </w:t>
      </w:r>
    </w:p>
    <w:p>
      <w:pPr>
        <w:pStyle w:val="BodyText"/>
        <w:numPr>
          <w:ilvl w:val="1"/>
          <w:numId w:val="3"/>
        </w:numPr>
        <w:tabs>
          <w:tab w:val="clear" w:pos="709"/>
          <w:tab w:val="left" w:pos="1418" w:leader="none"/>
        </w:tabs>
        <w:bidi w:val="0"/>
        <w:ind w:hanging="283" w:left="1418"/>
        <w:jc w:val="left"/>
        <w:rPr/>
      </w:pPr>
      <w:r>
        <w:rPr/>
        <w:t xml:space="preserve">Dụng cụ X bị thiếu 100 chiếc, giá trị là 25.000. </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1381: 65.000 </w:t>
      </w:r>
    </w:p>
    <w:p>
      <w:pPr>
        <w:pStyle w:val="BodyText"/>
        <w:numPr>
          <w:ilvl w:val="1"/>
          <w:numId w:val="3"/>
        </w:numPr>
        <w:tabs>
          <w:tab w:val="clear" w:pos="709"/>
          <w:tab w:val="left" w:pos="1418" w:leader="none"/>
        </w:tabs>
        <w:bidi w:val="0"/>
        <w:spacing w:before="0" w:after="0"/>
        <w:ind w:hanging="283" w:left="1418"/>
        <w:jc w:val="left"/>
        <w:rPr/>
      </w:pPr>
      <w:r>
        <w:rPr/>
        <w:t xml:space="preserve">Có TK 152 K: 40.000 </w:t>
      </w:r>
    </w:p>
    <w:p>
      <w:pPr>
        <w:pStyle w:val="BodyText"/>
        <w:numPr>
          <w:ilvl w:val="1"/>
          <w:numId w:val="3"/>
        </w:numPr>
        <w:tabs>
          <w:tab w:val="clear" w:pos="709"/>
          <w:tab w:val="left" w:pos="1418" w:leader="none"/>
        </w:tabs>
        <w:bidi w:val="0"/>
        <w:spacing w:before="0" w:after="0"/>
        <w:ind w:hanging="283" w:left="1418"/>
        <w:jc w:val="left"/>
        <w:rPr/>
      </w:pPr>
      <w:r>
        <w:rPr/>
        <w:t xml:space="preserve">Có TK 153 B: 25.000 </w:t>
      </w:r>
    </w:p>
    <w:p>
      <w:pPr>
        <w:pStyle w:val="BodyText"/>
        <w:numPr>
          <w:ilvl w:val="0"/>
          <w:numId w:val="3"/>
        </w:numPr>
        <w:tabs>
          <w:tab w:val="clear" w:pos="709"/>
          <w:tab w:val="left" w:pos="709" w:leader="none"/>
        </w:tabs>
        <w:bidi w:val="0"/>
        <w:ind w:hanging="283" w:left="709"/>
        <w:jc w:val="left"/>
        <w:rPr/>
      </w:pPr>
      <w:r>
        <w:rPr>
          <w:rStyle w:val="Strong"/>
        </w:rPr>
        <w:t>Cuối kỳ, trích lập bổ sung các khoản dự phòng tổn thất tài sản như sau:</w:t>
      </w:r>
    </w:p>
    <w:p>
      <w:pPr>
        <w:pStyle w:val="BodyText"/>
        <w:numPr>
          <w:ilvl w:val="1"/>
          <w:numId w:val="3"/>
        </w:numPr>
        <w:tabs>
          <w:tab w:val="clear" w:pos="709"/>
          <w:tab w:val="left" w:pos="1418" w:leader="none"/>
        </w:tabs>
        <w:bidi w:val="0"/>
        <w:spacing w:before="0" w:after="0"/>
        <w:ind w:hanging="283" w:left="1418"/>
        <w:jc w:val="left"/>
        <w:rPr/>
      </w:pPr>
      <w:r>
        <w:rPr/>
        <w:t xml:space="preserve">Dự phòng giảm giá chứng khoán kinh doanh, số tiền là 40.000 </w:t>
      </w:r>
    </w:p>
    <w:p>
      <w:pPr>
        <w:pStyle w:val="BodyText"/>
        <w:numPr>
          <w:ilvl w:val="1"/>
          <w:numId w:val="3"/>
        </w:numPr>
        <w:tabs>
          <w:tab w:val="clear" w:pos="709"/>
          <w:tab w:val="left" w:pos="1418" w:leader="none"/>
        </w:tabs>
        <w:bidi w:val="0"/>
        <w:spacing w:before="0" w:after="0"/>
        <w:ind w:hanging="283" w:left="1418"/>
        <w:jc w:val="left"/>
        <w:rPr/>
      </w:pPr>
      <w:r>
        <w:rPr/>
        <w:t xml:space="preserve">Dự phòng nợ phải thu khó đòi, số tiền là 55.000 </w:t>
      </w:r>
    </w:p>
    <w:p>
      <w:pPr>
        <w:pStyle w:val="BodyText"/>
        <w:numPr>
          <w:ilvl w:val="1"/>
          <w:numId w:val="3"/>
        </w:numPr>
        <w:tabs>
          <w:tab w:val="clear" w:pos="709"/>
          <w:tab w:val="left" w:pos="1418" w:leader="none"/>
        </w:tabs>
        <w:bidi w:val="0"/>
        <w:ind w:hanging="283" w:left="1418"/>
        <w:jc w:val="left"/>
        <w:rPr/>
      </w:pPr>
      <w:r>
        <w:rPr/>
        <w:t xml:space="preserve">Dự phòng giảm giá hàng tồn kho, số tiền là 25.000 </w:t>
      </w:r>
    </w:p>
    <w:p>
      <w:pPr>
        <w:pStyle w:val="BodyText"/>
        <w:numPr>
          <w:ilvl w:val="0"/>
          <w:numId w:val="0"/>
        </w:numPr>
        <w:bidi w:val="0"/>
        <w:ind w:hanging="0" w:left="0"/>
        <w:jc w:val="left"/>
        <w:rPr/>
      </w:pPr>
      <w:r>
        <w:rPr>
          <w:rStyle w:val="Strong"/>
        </w:rPr>
        <w:t>Gợi ý hạch toán:</w:t>
      </w:r>
    </w:p>
    <w:p>
      <w:pPr>
        <w:pStyle w:val="BodyText"/>
        <w:numPr>
          <w:ilvl w:val="1"/>
          <w:numId w:val="3"/>
        </w:numPr>
        <w:tabs>
          <w:tab w:val="clear" w:pos="709"/>
          <w:tab w:val="left" w:pos="1418" w:leader="none"/>
        </w:tabs>
        <w:bidi w:val="0"/>
        <w:spacing w:before="0" w:after="0"/>
        <w:ind w:hanging="283" w:left="1418"/>
        <w:jc w:val="left"/>
        <w:rPr/>
      </w:pPr>
      <w:r>
        <w:rPr/>
        <w:t xml:space="preserve">Nợ Tk 635: 40.000 </w:t>
      </w:r>
    </w:p>
    <w:p>
      <w:pPr>
        <w:pStyle w:val="BodyText"/>
        <w:numPr>
          <w:ilvl w:val="1"/>
          <w:numId w:val="3"/>
        </w:numPr>
        <w:tabs>
          <w:tab w:val="clear" w:pos="709"/>
          <w:tab w:val="left" w:pos="1418" w:leader="none"/>
        </w:tabs>
        <w:bidi w:val="0"/>
        <w:spacing w:before="0" w:after="0"/>
        <w:ind w:hanging="283" w:left="1418"/>
        <w:jc w:val="left"/>
        <w:rPr/>
      </w:pPr>
      <w:r>
        <w:rPr/>
        <w:t xml:space="preserve">Nợ Tk 642: 55.000 </w:t>
      </w:r>
    </w:p>
    <w:p>
      <w:pPr>
        <w:pStyle w:val="BodyText"/>
        <w:numPr>
          <w:ilvl w:val="1"/>
          <w:numId w:val="3"/>
        </w:numPr>
        <w:tabs>
          <w:tab w:val="clear" w:pos="709"/>
          <w:tab w:val="left" w:pos="1418" w:leader="none"/>
        </w:tabs>
        <w:bidi w:val="0"/>
        <w:spacing w:before="0" w:after="0"/>
        <w:ind w:hanging="283" w:left="1418"/>
        <w:jc w:val="left"/>
        <w:rPr/>
      </w:pPr>
      <w:r>
        <w:rPr/>
        <w:t xml:space="preserve">Nợ Tk 632: 25.000 </w:t>
      </w:r>
    </w:p>
    <w:p>
      <w:pPr>
        <w:pStyle w:val="BodyText"/>
        <w:numPr>
          <w:ilvl w:val="1"/>
          <w:numId w:val="3"/>
        </w:numPr>
        <w:tabs>
          <w:tab w:val="clear" w:pos="709"/>
          <w:tab w:val="left" w:pos="1418" w:leader="none"/>
        </w:tabs>
        <w:bidi w:val="0"/>
        <w:ind w:hanging="283" w:left="1418"/>
        <w:jc w:val="left"/>
        <w:rPr/>
      </w:pPr>
      <w:r>
        <w:rPr/>
        <w:t xml:space="preserve">Có TK 229: 120.000 </w:t>
      </w:r>
    </w:p>
    <w:p>
      <w:pPr>
        <w:pStyle w:val="BodyText"/>
        <w:bidi w:val="0"/>
        <w:jc w:val="left"/>
        <w:rPr/>
      </w:pPr>
      <w:r>
        <w:rPr>
          <w:rStyle w:val="Strong"/>
        </w:rPr>
        <w:t>Yêu cầu:</w:t>
      </w:r>
    </w:p>
    <w:p>
      <w:pPr>
        <w:pStyle w:val="BodyText"/>
        <w:numPr>
          <w:ilvl w:val="0"/>
          <w:numId w:val="4"/>
        </w:numPr>
        <w:tabs>
          <w:tab w:val="clear" w:pos="709"/>
          <w:tab w:val="left" w:pos="709" w:leader="none"/>
        </w:tabs>
        <w:bidi w:val="0"/>
        <w:ind w:hanging="283" w:left="709"/>
        <w:jc w:val="left"/>
        <w:rPr/>
      </w:pPr>
      <w:r>
        <w:rPr>
          <w:rStyle w:val="Strong"/>
        </w:rPr>
        <w:t>Định khoản kế toán các nghiệp vụ kinh tế phát sinh nêu trên trong Quý II/N của Công ty Gia Huy (không lập các bút toán kết chuyển).</w:t>
      </w:r>
      <w:r>
        <w:rPr/>
        <w:t xml:space="preserve"> (Đã thực hiện ở phần gợi ý hạch toán trên)</w:t>
      </w:r>
    </w:p>
    <w:p>
      <w:pPr>
        <w:pStyle w:val="BodyText"/>
        <w:numPr>
          <w:ilvl w:val="0"/>
          <w:numId w:val="4"/>
        </w:numPr>
        <w:tabs>
          <w:tab w:val="clear" w:pos="709"/>
          <w:tab w:val="left" w:pos="709" w:leader="none"/>
        </w:tabs>
        <w:bidi w:val="0"/>
        <w:ind w:hanging="283" w:left="709"/>
        <w:jc w:val="left"/>
        <w:rPr/>
      </w:pPr>
      <w:r>
        <w:rPr>
          <w:rStyle w:val="Strong"/>
        </w:rPr>
        <w:t>Căn cứ vào số dư tại ngày 30/6/N của một số tài khoản kế toán sau đây để trình bày vào các chỉ tiêu liên quan trên Bảng cân đối kế toán Quý II/N của Công ty Gia Huy (Công ty đáp ứng giả định hoạt động liên tục):</w:t>
      </w:r>
    </w:p>
    <w:p>
      <w:pPr>
        <w:pStyle w:val="BodyText"/>
        <w:numPr>
          <w:ilvl w:val="1"/>
          <w:numId w:val="4"/>
        </w:numPr>
        <w:tabs>
          <w:tab w:val="clear" w:pos="709"/>
          <w:tab w:val="left" w:pos="1418" w:leader="none"/>
        </w:tabs>
        <w:bidi w:val="0"/>
        <w:spacing w:before="0" w:after="0"/>
        <w:ind w:hanging="283" w:left="1418"/>
        <w:jc w:val="left"/>
        <w:rPr/>
      </w:pPr>
      <w:r>
        <w:rPr/>
        <w:t xml:space="preserve">Số dư bên Nợ TK 121: 2.132.000 </w:t>
      </w:r>
    </w:p>
    <w:p>
      <w:pPr>
        <w:pStyle w:val="BodyText"/>
        <w:numPr>
          <w:ilvl w:val="1"/>
          <w:numId w:val="4"/>
        </w:numPr>
        <w:tabs>
          <w:tab w:val="clear" w:pos="709"/>
          <w:tab w:val="left" w:pos="1418" w:leader="none"/>
        </w:tabs>
        <w:bidi w:val="0"/>
        <w:spacing w:before="0" w:after="0"/>
        <w:ind w:hanging="283" w:left="1418"/>
        <w:jc w:val="left"/>
        <w:rPr/>
      </w:pPr>
      <w:r>
        <w:rPr/>
        <w:t xml:space="preserve">Số dư bên Có TK 356: 460.000 </w:t>
      </w:r>
    </w:p>
    <w:p>
      <w:pPr>
        <w:pStyle w:val="BodyText"/>
        <w:numPr>
          <w:ilvl w:val="1"/>
          <w:numId w:val="4"/>
        </w:numPr>
        <w:tabs>
          <w:tab w:val="clear" w:pos="709"/>
          <w:tab w:val="left" w:pos="1418" w:leader="none"/>
        </w:tabs>
        <w:bidi w:val="0"/>
        <w:spacing w:before="0" w:after="0"/>
        <w:ind w:hanging="283" w:left="1418"/>
        <w:jc w:val="left"/>
        <w:rPr/>
      </w:pPr>
      <w:r>
        <w:rPr/>
        <w:t xml:space="preserve">Số dư bên Có TK 4118: 360.000 </w:t>
      </w:r>
    </w:p>
    <w:p>
      <w:pPr>
        <w:pStyle w:val="BodyText"/>
        <w:numPr>
          <w:ilvl w:val="1"/>
          <w:numId w:val="4"/>
        </w:numPr>
        <w:tabs>
          <w:tab w:val="clear" w:pos="709"/>
          <w:tab w:val="left" w:pos="1418" w:leader="none"/>
        </w:tabs>
        <w:bidi w:val="0"/>
        <w:spacing w:before="0" w:after="0"/>
        <w:ind w:hanging="283" w:left="1418"/>
        <w:jc w:val="left"/>
        <w:rPr/>
      </w:pPr>
      <w:r>
        <w:rPr/>
        <w:t xml:space="preserve">Số dư bên Nợ TK 217: 3.300.000 </w:t>
      </w:r>
    </w:p>
    <w:p>
      <w:pPr>
        <w:pStyle w:val="BodyText"/>
        <w:numPr>
          <w:ilvl w:val="1"/>
          <w:numId w:val="4"/>
        </w:numPr>
        <w:tabs>
          <w:tab w:val="clear" w:pos="709"/>
          <w:tab w:val="left" w:pos="1418" w:leader="none"/>
        </w:tabs>
        <w:bidi w:val="0"/>
        <w:spacing w:before="0" w:after="0"/>
        <w:ind w:hanging="283" w:left="1418"/>
        <w:jc w:val="left"/>
        <w:rPr/>
      </w:pPr>
      <w:r>
        <w:rPr/>
        <w:t xml:space="preserve">Số dư bên Có TK 2147: 680.000 </w:t>
      </w:r>
    </w:p>
    <w:p>
      <w:pPr>
        <w:pStyle w:val="BodyText"/>
        <w:numPr>
          <w:ilvl w:val="1"/>
          <w:numId w:val="4"/>
        </w:numPr>
        <w:tabs>
          <w:tab w:val="clear" w:pos="709"/>
          <w:tab w:val="left" w:pos="1418" w:leader="none"/>
        </w:tabs>
        <w:bidi w:val="0"/>
        <w:spacing w:before="0" w:after="0"/>
        <w:ind w:hanging="283" w:left="1418"/>
        <w:jc w:val="left"/>
        <w:rPr/>
      </w:pPr>
      <w:r>
        <w:rPr/>
        <w:t xml:space="preserve">Số dư bên Nợ TK 213: 1.200.000 </w:t>
      </w:r>
    </w:p>
    <w:p>
      <w:pPr>
        <w:pStyle w:val="BodyText"/>
        <w:numPr>
          <w:ilvl w:val="1"/>
          <w:numId w:val="4"/>
        </w:numPr>
        <w:tabs>
          <w:tab w:val="clear" w:pos="709"/>
          <w:tab w:val="left" w:pos="1418" w:leader="none"/>
        </w:tabs>
        <w:bidi w:val="0"/>
        <w:ind w:hanging="283" w:left="1418"/>
        <w:jc w:val="left"/>
        <w:rPr/>
      </w:pPr>
      <w:r>
        <w:rPr/>
        <w:t xml:space="preserve">Số dư bên Có TK 2143: 530.000 </w:t>
      </w:r>
    </w:p>
    <w:p>
      <w:pPr>
        <w:pStyle w:val="BodyText"/>
        <w:numPr>
          <w:ilvl w:val="0"/>
          <w:numId w:val="0"/>
        </w:numPr>
        <w:bidi w:val="0"/>
        <w:ind w:hanging="0" w:left="0"/>
        <w:jc w:val="left"/>
        <w:rPr/>
      </w:pPr>
      <w:r>
        <w:rPr>
          <w:rStyle w:val="Strong"/>
        </w:rPr>
        <w:t>Gợi ý trả lời:</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Nợ TK 121: 2.132.000</w:t>
      </w:r>
    </w:p>
    <w:p>
      <w:pPr>
        <w:pStyle w:val="BodyText"/>
        <w:numPr>
          <w:ilvl w:val="2"/>
          <w:numId w:val="4"/>
        </w:numPr>
        <w:tabs>
          <w:tab w:val="clear" w:pos="709"/>
          <w:tab w:val="left" w:pos="2127" w:leader="none"/>
        </w:tabs>
        <w:bidi w:val="0"/>
        <w:spacing w:before="0" w:after="0"/>
        <w:ind w:hanging="283" w:left="2127"/>
        <w:jc w:val="left"/>
        <w:rPr/>
      </w:pPr>
      <w:r>
        <w:rPr/>
        <w:t xml:space="preserve">Chỉ tiêu trình bày trên BCTC: </w:t>
      </w:r>
      <w:r>
        <w:rPr>
          <w:rStyle w:val="Strong"/>
        </w:rPr>
        <w:t>Tài sản ngắn hạn – Chứng khoán kinh doanh (Mã số 121)</w:t>
      </w:r>
      <w:r>
        <w:rPr/>
        <w:t xml:space="preserve"> </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Có TK 356: 460.000</w:t>
      </w:r>
    </w:p>
    <w:p>
      <w:pPr>
        <w:pStyle w:val="BodyText"/>
        <w:numPr>
          <w:ilvl w:val="2"/>
          <w:numId w:val="4"/>
        </w:numPr>
        <w:tabs>
          <w:tab w:val="clear" w:pos="709"/>
          <w:tab w:val="left" w:pos="2127" w:leader="none"/>
        </w:tabs>
        <w:bidi w:val="0"/>
        <w:spacing w:before="0" w:after="0"/>
        <w:ind w:hanging="283" w:left="2127"/>
        <w:jc w:val="left"/>
        <w:rPr/>
      </w:pPr>
      <w:r>
        <w:rPr/>
        <w:t xml:space="preserve">Chỉ tiêu trình bày trên BCTC: </w:t>
      </w:r>
      <w:r>
        <w:rPr>
          <w:rStyle w:val="Strong"/>
        </w:rPr>
        <w:t>Nguồn vốn – Nợ phải trả – Nợ dài hạn – Quỹ phát triển khoa học và công nghệ (Mã số 343)</w:t>
      </w:r>
      <w:r>
        <w:rPr/>
        <w:t xml:space="preserve"> </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Có TK 4118: 360.000</w:t>
      </w:r>
    </w:p>
    <w:p>
      <w:pPr>
        <w:pStyle w:val="BodyText"/>
        <w:numPr>
          <w:ilvl w:val="2"/>
          <w:numId w:val="4"/>
        </w:numPr>
        <w:tabs>
          <w:tab w:val="clear" w:pos="709"/>
          <w:tab w:val="left" w:pos="2127" w:leader="none"/>
        </w:tabs>
        <w:bidi w:val="0"/>
        <w:spacing w:before="0" w:after="0"/>
        <w:ind w:hanging="283" w:left="2127"/>
        <w:jc w:val="left"/>
        <w:rPr/>
      </w:pPr>
      <w:r>
        <w:rPr/>
        <w:t xml:space="preserve">Chỉ tiêu trình bày trên BCTC: </w:t>
      </w:r>
      <w:r>
        <w:rPr>
          <w:rStyle w:val="Strong"/>
        </w:rPr>
        <w:t>Nguồn vốn chủ sở hữu – Vốn khác của chủ sở hữu (Mã số 414)</w:t>
      </w:r>
      <w:r>
        <w:rPr/>
        <w:t xml:space="preserve"> </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Nợ TK 217: 3.300.000</w:t>
      </w:r>
    </w:p>
    <w:p>
      <w:pPr>
        <w:pStyle w:val="BodyText"/>
        <w:numPr>
          <w:ilvl w:val="2"/>
          <w:numId w:val="4"/>
        </w:numPr>
        <w:tabs>
          <w:tab w:val="clear" w:pos="709"/>
          <w:tab w:val="left" w:pos="2127" w:leader="none"/>
        </w:tabs>
        <w:bidi w:val="0"/>
        <w:spacing w:before="0" w:after="0"/>
        <w:ind w:hanging="283" w:left="2127"/>
        <w:jc w:val="left"/>
        <w:rPr/>
      </w:pPr>
      <w:r>
        <w:rPr/>
        <w:t xml:space="preserve">Chỉ tiêu trình bày trên BCTC: </w:t>
      </w:r>
      <w:r>
        <w:rPr>
          <w:rStyle w:val="Strong"/>
        </w:rPr>
        <w:t>Tài sản dài hạn – Bất động sản đầu tư (Mã số 230)</w:t>
      </w:r>
    </w:p>
    <w:p>
      <w:pPr>
        <w:pStyle w:val="BodyText"/>
        <w:numPr>
          <w:ilvl w:val="3"/>
          <w:numId w:val="4"/>
        </w:numPr>
        <w:tabs>
          <w:tab w:val="clear" w:pos="709"/>
          <w:tab w:val="left" w:pos="2836" w:leader="none"/>
        </w:tabs>
        <w:bidi w:val="0"/>
        <w:spacing w:before="0" w:after="0"/>
        <w:ind w:hanging="283" w:left="2836"/>
        <w:jc w:val="left"/>
        <w:rPr/>
      </w:pPr>
      <w:r>
        <w:rPr/>
        <w:t xml:space="preserve">Nguyên giá (Mã số 231) </w:t>
      </w:r>
    </w:p>
    <w:p>
      <w:pPr>
        <w:pStyle w:val="BodyText"/>
        <w:numPr>
          <w:ilvl w:val="3"/>
          <w:numId w:val="4"/>
        </w:numPr>
        <w:tabs>
          <w:tab w:val="clear" w:pos="709"/>
          <w:tab w:val="left" w:pos="2836" w:leader="none"/>
        </w:tabs>
        <w:bidi w:val="0"/>
        <w:spacing w:before="0" w:after="0"/>
        <w:ind w:hanging="283" w:left="2836"/>
        <w:jc w:val="left"/>
        <w:rPr/>
      </w:pPr>
      <w:r>
        <w:rPr/>
        <w:t xml:space="preserve">Giá trị hao mòn lũy kế (Mã số 232) </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Có TK 2147: 680.000</w:t>
      </w:r>
      <w:r>
        <w:rPr/>
        <w:t xml:space="preserve"> (Là số dư Có của tài khoản hao mòn lũy kế BĐS đầu tư, sẽ được ghi vào chỉ tiêu Mã số 232 với dấu âm hoặc trong ngoặc đơn). </w:t>
      </w:r>
    </w:p>
    <w:p>
      <w:pPr>
        <w:pStyle w:val="BodyText"/>
        <w:numPr>
          <w:ilvl w:val="1"/>
          <w:numId w:val="4"/>
        </w:numPr>
        <w:tabs>
          <w:tab w:val="clear" w:pos="709"/>
          <w:tab w:val="left" w:pos="1418" w:leader="none"/>
        </w:tabs>
        <w:bidi w:val="0"/>
        <w:spacing w:before="0" w:after="0"/>
        <w:ind w:hanging="283" w:left="1418"/>
        <w:jc w:val="left"/>
        <w:rPr/>
      </w:pPr>
      <w:r>
        <w:rPr>
          <w:rStyle w:val="Strong"/>
        </w:rPr>
        <w:t>Số dư bên Nợ TK 213: 1.200.000</w:t>
      </w:r>
    </w:p>
    <w:p>
      <w:pPr>
        <w:pStyle w:val="BodyText"/>
        <w:numPr>
          <w:ilvl w:val="2"/>
          <w:numId w:val="4"/>
        </w:numPr>
        <w:tabs>
          <w:tab w:val="clear" w:pos="709"/>
          <w:tab w:val="left" w:pos="2127" w:leader="none"/>
        </w:tabs>
        <w:bidi w:val="0"/>
        <w:spacing w:before="0" w:after="0"/>
        <w:ind w:hanging="283" w:left="2127"/>
        <w:jc w:val="left"/>
        <w:rPr/>
      </w:pPr>
      <w:r>
        <w:rPr/>
        <w:t xml:space="preserve">Chỉ tiêu trình bày trên BCTC: </w:t>
      </w:r>
      <w:r>
        <w:rPr>
          <w:rStyle w:val="Strong"/>
        </w:rPr>
        <w:t>Tài sản dài hạn – Tài sản cố định vô hình (Mã số 227)</w:t>
      </w:r>
    </w:p>
    <w:p>
      <w:pPr>
        <w:pStyle w:val="BodyText"/>
        <w:numPr>
          <w:ilvl w:val="3"/>
          <w:numId w:val="4"/>
        </w:numPr>
        <w:tabs>
          <w:tab w:val="clear" w:pos="709"/>
          <w:tab w:val="left" w:pos="2836" w:leader="none"/>
        </w:tabs>
        <w:bidi w:val="0"/>
        <w:spacing w:before="0" w:after="0"/>
        <w:ind w:hanging="283" w:left="2836"/>
        <w:jc w:val="left"/>
        <w:rPr/>
      </w:pPr>
      <w:r>
        <w:rPr/>
        <w:t xml:space="preserve">Nguyên giá (Mã số 228) </w:t>
      </w:r>
    </w:p>
    <w:p>
      <w:pPr>
        <w:pStyle w:val="BodyText"/>
        <w:numPr>
          <w:ilvl w:val="3"/>
          <w:numId w:val="4"/>
        </w:numPr>
        <w:tabs>
          <w:tab w:val="clear" w:pos="709"/>
          <w:tab w:val="left" w:pos="2836" w:leader="none"/>
        </w:tabs>
        <w:bidi w:val="0"/>
        <w:spacing w:before="0" w:after="0"/>
        <w:ind w:hanging="283" w:left="2836"/>
        <w:jc w:val="left"/>
        <w:rPr/>
      </w:pPr>
      <w:r>
        <w:rPr/>
        <w:t xml:space="preserve">Giá trị hao mòn lũy kế (Mã số 229) </w:t>
      </w:r>
    </w:p>
    <w:p>
      <w:pPr>
        <w:pStyle w:val="BodyText"/>
        <w:numPr>
          <w:ilvl w:val="1"/>
          <w:numId w:val="4"/>
        </w:numPr>
        <w:tabs>
          <w:tab w:val="clear" w:pos="709"/>
          <w:tab w:val="left" w:pos="1418" w:leader="none"/>
        </w:tabs>
        <w:bidi w:val="0"/>
        <w:ind w:hanging="283" w:left="1418"/>
        <w:jc w:val="left"/>
        <w:rPr/>
      </w:pPr>
      <w:r>
        <w:rPr>
          <w:rStyle w:val="Strong"/>
        </w:rPr>
        <w:t>Số dư bên Có TK 2143: 530.000</w:t>
      </w:r>
      <w:r>
        <w:rPr/>
        <w:t xml:space="preserve"> (Là số dư Có của tài khoản hao mòn lũy kế TSCĐ vô hình, sẽ được ghi vào chỉ tiêu Mã số 229 với dấu âm hoặc trong ngoặc đơn). </w:t>
      </w:r>
    </w:p>
    <w:p>
      <w:pPr>
        <w:pStyle w:val="Heading3"/>
        <w:bidi w:val="0"/>
        <w:jc w:val="left"/>
        <w:rPr/>
      </w:pPr>
      <w:r>
        <w:rPr/>
        <w:t>Câu 2 (2 điểm): Công ty X trong cùng một quy trình công nghệ sản xuất đồng thời thu được 2 loại sản phẩm X và Y, trong tháng 6/N có tài liệu sau (Đơn vị tính: 1.000đ):</w:t>
      </w:r>
    </w:p>
    <w:p>
      <w:pPr>
        <w:pStyle w:val="BodyText"/>
        <w:numPr>
          <w:ilvl w:val="0"/>
          <w:numId w:val="5"/>
        </w:numPr>
        <w:tabs>
          <w:tab w:val="clear" w:pos="709"/>
          <w:tab w:val="left" w:pos="709" w:leader="none"/>
        </w:tabs>
        <w:bidi w:val="0"/>
        <w:spacing w:before="0" w:after="0"/>
        <w:ind w:hanging="283" w:left="709"/>
        <w:jc w:val="left"/>
        <w:rPr/>
      </w:pPr>
      <w:r>
        <w:rPr/>
        <w:t xml:space="preserve">Chi phí nguyên vật liệu trực tiếp: 1.850.000 </w:t>
      </w:r>
    </w:p>
    <w:p>
      <w:pPr>
        <w:pStyle w:val="BodyText"/>
        <w:numPr>
          <w:ilvl w:val="0"/>
          <w:numId w:val="5"/>
        </w:numPr>
        <w:tabs>
          <w:tab w:val="clear" w:pos="709"/>
          <w:tab w:val="left" w:pos="709" w:leader="none"/>
        </w:tabs>
        <w:bidi w:val="0"/>
        <w:spacing w:before="0" w:after="0"/>
        <w:ind w:hanging="283" w:left="709"/>
        <w:jc w:val="left"/>
        <w:rPr/>
      </w:pPr>
      <w:r>
        <w:rPr/>
        <w:t xml:space="preserve">Chi phí nhân công trực tiếp: 870.000 </w:t>
      </w:r>
    </w:p>
    <w:p>
      <w:pPr>
        <w:pStyle w:val="BodyText"/>
        <w:numPr>
          <w:ilvl w:val="0"/>
          <w:numId w:val="5"/>
        </w:numPr>
        <w:tabs>
          <w:tab w:val="clear" w:pos="709"/>
          <w:tab w:val="left" w:pos="709" w:leader="none"/>
        </w:tabs>
        <w:bidi w:val="0"/>
        <w:spacing w:before="0" w:after="0"/>
        <w:ind w:hanging="283" w:left="709"/>
        <w:jc w:val="left"/>
        <w:rPr/>
      </w:pPr>
      <w:r>
        <w:rPr/>
        <w:t xml:space="preserve">Chi phí sản xuất chung: 980.000 </w:t>
      </w:r>
    </w:p>
    <w:p>
      <w:pPr>
        <w:pStyle w:val="BodyText"/>
        <w:numPr>
          <w:ilvl w:val="0"/>
          <w:numId w:val="5"/>
        </w:numPr>
        <w:tabs>
          <w:tab w:val="clear" w:pos="709"/>
          <w:tab w:val="left" w:pos="709" w:leader="none"/>
        </w:tabs>
        <w:bidi w:val="0"/>
        <w:spacing w:before="0" w:after="0"/>
        <w:ind w:hanging="283" w:left="709"/>
        <w:jc w:val="left"/>
        <w:rPr/>
      </w:pPr>
      <w:r>
        <w:rPr/>
        <w:t xml:space="preserve">Kết quả sản xuất trong tháng hoàn thành 2,600 thành phẩm X và 1.600 thành phẩm Y đều đạt tiêu chuẩn kỹ thuật. </w:t>
      </w:r>
    </w:p>
    <w:p>
      <w:pPr>
        <w:pStyle w:val="BodyText"/>
        <w:numPr>
          <w:ilvl w:val="0"/>
          <w:numId w:val="5"/>
        </w:numPr>
        <w:tabs>
          <w:tab w:val="clear" w:pos="709"/>
          <w:tab w:val="left" w:pos="709" w:leader="none"/>
        </w:tabs>
        <w:bidi w:val="0"/>
        <w:spacing w:before="0" w:after="0"/>
        <w:ind w:hanging="283" w:left="709"/>
        <w:jc w:val="left"/>
        <w:rPr/>
      </w:pPr>
      <w:r>
        <w:rPr/>
        <w:t>Tài liệu bổ sung:</w:t>
      </w:r>
    </w:p>
    <w:p>
      <w:pPr>
        <w:pStyle w:val="BodyText"/>
        <w:numPr>
          <w:ilvl w:val="1"/>
          <w:numId w:val="5"/>
        </w:numPr>
        <w:tabs>
          <w:tab w:val="clear" w:pos="709"/>
          <w:tab w:val="left" w:pos="1418" w:leader="none"/>
        </w:tabs>
        <w:bidi w:val="0"/>
        <w:spacing w:before="0" w:after="0"/>
        <w:ind w:hanging="283" w:left="1418"/>
        <w:jc w:val="left"/>
        <w:rPr/>
      </w:pPr>
      <w:r>
        <w:rPr/>
        <w:t xml:space="preserve">Công ty không có chi phí sản xuất sản phẩm dở dang đầu tháng và cuối kỳ. </w:t>
      </w:r>
    </w:p>
    <w:p>
      <w:pPr>
        <w:pStyle w:val="BodyText"/>
        <w:numPr>
          <w:ilvl w:val="1"/>
          <w:numId w:val="5"/>
        </w:numPr>
        <w:tabs>
          <w:tab w:val="clear" w:pos="709"/>
          <w:tab w:val="left" w:pos="1418" w:leader="none"/>
        </w:tabs>
        <w:bidi w:val="0"/>
        <w:ind w:hanging="283" w:left="1418"/>
        <w:jc w:val="left"/>
        <w:rPr/>
      </w:pPr>
      <w:r>
        <w:rPr/>
        <w:t xml:space="preserve">Hệ số quy đổi về sản phẩm tiêu chuẩn của sản phẩm X là 1,0 và của sản phẩm Y là 1,5. </w:t>
      </w:r>
    </w:p>
    <w:p>
      <w:pPr>
        <w:pStyle w:val="BodyText"/>
        <w:bidi w:val="0"/>
        <w:jc w:val="left"/>
        <w:rPr/>
      </w:pPr>
      <w:r>
        <w:rPr>
          <w:rStyle w:val="Strong"/>
        </w:rPr>
        <w:t>Yêu cầu: Tính tổng giá thành và giá thành đơn vị thành phẩm X và thành phẩm Y theo phương pháp hệ số (theo từng khoản mục chi phí).</w:t>
      </w:r>
    </w:p>
    <w:p>
      <w:pPr>
        <w:pStyle w:val="BodyText"/>
        <w:bidi w:val="0"/>
        <w:jc w:val="left"/>
        <w:rPr/>
      </w:pPr>
      <w:r>
        <w:rPr>
          <w:rStyle w:val="Strong"/>
        </w:rPr>
        <w:t>Gợi ý trả lời:</w:t>
      </w:r>
    </w:p>
    <w:p>
      <w:pPr>
        <w:pStyle w:val="BodyText"/>
        <w:numPr>
          <w:ilvl w:val="0"/>
          <w:numId w:val="6"/>
        </w:numPr>
        <w:tabs>
          <w:tab w:val="clear" w:pos="709"/>
          <w:tab w:val="left" w:pos="709" w:leader="none"/>
        </w:tabs>
        <w:bidi w:val="0"/>
        <w:ind w:hanging="283" w:left="709"/>
        <w:jc w:val="left"/>
        <w:rPr/>
      </w:pPr>
      <w:r>
        <w:rPr>
          <w:rStyle w:val="Strong"/>
        </w:rPr>
        <w:t>Bảng xác định số lượng thành phẩm tiêu chuẩn</w:t>
      </w:r>
    </w:p>
    <w:tbl>
      <w:tblPr>
        <w:tblW w:w="5837" w:type="dxa"/>
        <w:jc w:val="left"/>
        <w:tblInd w:w="709" w:type="dxa"/>
        <w:tblLayout w:type="fixed"/>
        <w:tblCellMar>
          <w:top w:w="28" w:type="dxa"/>
          <w:left w:w="28" w:type="dxa"/>
          <w:bottom w:w="28" w:type="dxa"/>
          <w:right w:w="28" w:type="dxa"/>
        </w:tblCellMar>
      </w:tblPr>
      <w:tblGrid>
        <w:gridCol w:w="2458"/>
        <w:gridCol w:w="1667"/>
        <w:gridCol w:w="1712"/>
      </w:tblGrid>
      <w:tr>
        <w:trPr>
          <w:tblHeader w:val="true"/>
        </w:trPr>
        <w:tc>
          <w:tcPr>
            <w:tcW w:w="2458" w:type="dxa"/>
            <w:tcBorders/>
            <w:vAlign w:val="center"/>
          </w:tcPr>
          <w:p>
            <w:pPr>
              <w:pStyle w:val="TableHeading"/>
              <w:bidi w:val="0"/>
              <w:jc w:val="left"/>
              <w:rPr/>
            </w:pPr>
            <w:r>
              <w:rPr/>
              <w:t>Chỉ tiêu</w:t>
            </w:r>
          </w:p>
        </w:tc>
        <w:tc>
          <w:tcPr>
            <w:tcW w:w="1667" w:type="dxa"/>
            <w:tcBorders/>
            <w:vAlign w:val="center"/>
          </w:tcPr>
          <w:p>
            <w:pPr>
              <w:pStyle w:val="TableHeading"/>
              <w:bidi w:val="0"/>
              <w:jc w:val="left"/>
              <w:rPr/>
            </w:pPr>
            <w:r>
              <w:rPr/>
              <w:t>Thành phẩm X</w:t>
            </w:r>
          </w:p>
        </w:tc>
        <w:tc>
          <w:tcPr>
            <w:tcW w:w="1712" w:type="dxa"/>
            <w:tcBorders/>
            <w:vAlign w:val="center"/>
          </w:tcPr>
          <w:p>
            <w:pPr>
              <w:pStyle w:val="TableHeading"/>
              <w:bidi w:val="0"/>
              <w:jc w:val="left"/>
              <w:rPr/>
            </w:pPr>
            <w:r>
              <w:rPr/>
              <w:t>Thành phẩm Y</w:t>
            </w:r>
          </w:p>
        </w:tc>
      </w:tr>
      <w:tr>
        <w:trPr/>
        <w:tc>
          <w:tcPr>
            <w:tcW w:w="2458" w:type="dxa"/>
            <w:tcBorders/>
            <w:vAlign w:val="center"/>
          </w:tcPr>
          <w:p>
            <w:pPr>
              <w:pStyle w:val="TableContents"/>
              <w:bidi w:val="0"/>
              <w:jc w:val="left"/>
              <w:rPr/>
            </w:pPr>
            <w:r>
              <w:rPr/>
              <w:t>Số lượng TP hoàn thành</w:t>
            </w:r>
          </w:p>
        </w:tc>
        <w:tc>
          <w:tcPr>
            <w:tcW w:w="1667" w:type="dxa"/>
            <w:tcBorders/>
            <w:vAlign w:val="center"/>
          </w:tcPr>
          <w:p>
            <w:pPr>
              <w:pStyle w:val="TableContents"/>
              <w:bidi w:val="0"/>
              <w:jc w:val="left"/>
              <w:rPr/>
            </w:pPr>
            <w:r>
              <w:rPr/>
              <w:t>2.600</w:t>
            </w:r>
          </w:p>
        </w:tc>
        <w:tc>
          <w:tcPr>
            <w:tcW w:w="1712" w:type="dxa"/>
            <w:tcBorders/>
            <w:vAlign w:val="center"/>
          </w:tcPr>
          <w:p>
            <w:pPr>
              <w:pStyle w:val="TableContents"/>
              <w:bidi w:val="0"/>
              <w:jc w:val="left"/>
              <w:rPr/>
            </w:pPr>
            <w:r>
              <w:rPr/>
              <w:t>1.600</w:t>
            </w:r>
          </w:p>
        </w:tc>
      </w:tr>
      <w:tr>
        <w:trPr/>
        <w:tc>
          <w:tcPr>
            <w:tcW w:w="2458" w:type="dxa"/>
            <w:tcBorders/>
            <w:vAlign w:val="center"/>
          </w:tcPr>
          <w:p>
            <w:pPr>
              <w:pStyle w:val="TableContents"/>
              <w:bidi w:val="0"/>
              <w:jc w:val="left"/>
              <w:rPr/>
            </w:pPr>
            <w:r>
              <w:rPr/>
              <w:t>Hệ số</w:t>
            </w:r>
          </w:p>
        </w:tc>
        <w:tc>
          <w:tcPr>
            <w:tcW w:w="1667" w:type="dxa"/>
            <w:tcBorders/>
            <w:vAlign w:val="center"/>
          </w:tcPr>
          <w:p>
            <w:pPr>
              <w:pStyle w:val="TableContents"/>
              <w:bidi w:val="0"/>
              <w:jc w:val="left"/>
              <w:rPr/>
            </w:pPr>
            <w:r>
              <w:rPr/>
              <w:t>1</w:t>
            </w:r>
          </w:p>
        </w:tc>
        <w:tc>
          <w:tcPr>
            <w:tcW w:w="1712" w:type="dxa"/>
            <w:tcBorders/>
            <w:vAlign w:val="center"/>
          </w:tcPr>
          <w:p>
            <w:pPr>
              <w:pStyle w:val="TableContents"/>
              <w:bidi w:val="0"/>
              <w:jc w:val="left"/>
              <w:rPr/>
            </w:pPr>
            <w:r>
              <w:rPr/>
              <w:t>1.5</w:t>
            </w:r>
          </w:p>
        </w:tc>
      </w:tr>
      <w:tr>
        <w:trPr/>
        <w:tc>
          <w:tcPr>
            <w:tcW w:w="2458" w:type="dxa"/>
            <w:tcBorders/>
            <w:vAlign w:val="center"/>
          </w:tcPr>
          <w:p>
            <w:pPr>
              <w:pStyle w:val="TableContents"/>
              <w:bidi w:val="0"/>
              <w:jc w:val="left"/>
              <w:rPr/>
            </w:pPr>
            <w:r>
              <w:rPr/>
              <w:t>Số lượng TP tiêu chuẩn</w:t>
            </w:r>
          </w:p>
        </w:tc>
        <w:tc>
          <w:tcPr>
            <w:tcW w:w="1667" w:type="dxa"/>
            <w:tcBorders/>
            <w:vAlign w:val="center"/>
          </w:tcPr>
          <w:p>
            <w:pPr>
              <w:pStyle w:val="TableContents"/>
              <w:bidi w:val="0"/>
              <w:jc w:val="left"/>
              <w:rPr/>
            </w:pPr>
            <w:r>
              <w:rPr>
                <w:rStyle w:val="Strong"/>
              </w:rPr>
              <w:t>2.600</w:t>
            </w:r>
          </w:p>
        </w:tc>
        <w:tc>
          <w:tcPr>
            <w:tcW w:w="1712" w:type="dxa"/>
            <w:tcBorders/>
            <w:vAlign w:val="center"/>
          </w:tcPr>
          <w:p>
            <w:pPr>
              <w:pStyle w:val="TableContents"/>
              <w:bidi w:val="0"/>
              <w:jc w:val="left"/>
              <w:rPr/>
            </w:pPr>
            <w:r>
              <w:rPr>
                <w:rStyle w:val="Strong"/>
              </w:rPr>
              <w:t>2.400</w:t>
            </w:r>
          </w:p>
        </w:tc>
      </w:tr>
      <w:tr>
        <w:trPr/>
        <w:tc>
          <w:tcPr>
            <w:tcW w:w="2458" w:type="dxa"/>
            <w:tcBorders/>
            <w:vAlign w:val="center"/>
          </w:tcPr>
          <w:p>
            <w:pPr>
              <w:pStyle w:val="TableContents"/>
              <w:bidi w:val="0"/>
              <w:jc w:val="left"/>
              <w:rPr/>
            </w:pPr>
            <w:r>
              <w:rPr>
                <w:rStyle w:val="Strong"/>
              </w:rPr>
              <w:t>Tổng SLTP tiêu chuẩn</w:t>
            </w:r>
          </w:p>
        </w:tc>
        <w:tc>
          <w:tcPr>
            <w:tcW w:w="1667" w:type="dxa"/>
            <w:tcBorders/>
            <w:vAlign w:val="center"/>
          </w:tcPr>
          <w:p>
            <w:pPr>
              <w:pStyle w:val="TableContents"/>
              <w:bidi w:val="0"/>
              <w:jc w:val="left"/>
              <w:rPr>
                <w:sz w:val="4"/>
                <w:szCs w:val="4"/>
              </w:rPr>
            </w:pPr>
            <w:r>
              <w:rPr>
                <w:sz w:val="4"/>
                <w:szCs w:val="4"/>
              </w:rPr>
            </w:r>
          </w:p>
        </w:tc>
        <w:tc>
          <w:tcPr>
            <w:tcW w:w="1712" w:type="dxa"/>
            <w:tcBorders/>
            <w:vAlign w:val="center"/>
          </w:tcPr>
          <w:p>
            <w:pPr>
              <w:pStyle w:val="TableContents"/>
              <w:bidi w:val="0"/>
              <w:jc w:val="left"/>
              <w:rPr/>
            </w:pPr>
            <w:r>
              <w:rPr>
                <w:rStyle w:val="Strong"/>
              </w:rPr>
              <w:t>5.000</w:t>
            </w:r>
          </w:p>
        </w:tc>
      </w:tr>
    </w:tbl>
    <w:p>
      <w:pPr>
        <w:pStyle w:val="BodyText"/>
        <w:numPr>
          <w:ilvl w:val="0"/>
          <w:numId w:val="6"/>
        </w:numPr>
        <w:tabs>
          <w:tab w:val="clear" w:pos="709"/>
          <w:tab w:val="left" w:pos="709" w:leader="none"/>
        </w:tabs>
        <w:bidi w:val="0"/>
        <w:ind w:hanging="283" w:left="709"/>
        <w:jc w:val="left"/>
        <w:rPr/>
      </w:pPr>
      <w:r>
        <w:rPr>
          <w:rStyle w:val="Strong"/>
        </w:rPr>
        <w:t>Bảng xác định giá thành</w:t>
      </w:r>
    </w:p>
    <w:tbl>
      <w:tblPr>
        <w:tblW w:w="9263" w:type="dxa"/>
        <w:jc w:val="left"/>
        <w:tblInd w:w="709" w:type="dxa"/>
        <w:tblLayout w:type="fixed"/>
        <w:tblCellMar>
          <w:top w:w="28" w:type="dxa"/>
          <w:left w:w="28" w:type="dxa"/>
          <w:bottom w:w="28" w:type="dxa"/>
          <w:right w:w="28" w:type="dxa"/>
        </w:tblCellMar>
      </w:tblPr>
      <w:tblGrid>
        <w:gridCol w:w="1320"/>
        <w:gridCol w:w="1386"/>
        <w:gridCol w:w="1198"/>
        <w:gridCol w:w="2019"/>
        <w:gridCol w:w="1646"/>
        <w:gridCol w:w="1694"/>
      </w:tblGrid>
      <w:tr>
        <w:trPr>
          <w:tblHeader w:val="true"/>
        </w:trPr>
        <w:tc>
          <w:tcPr>
            <w:tcW w:w="1320" w:type="dxa"/>
            <w:tcBorders/>
            <w:vAlign w:val="center"/>
          </w:tcPr>
          <w:p>
            <w:pPr>
              <w:pStyle w:val="TableHeading"/>
              <w:bidi w:val="0"/>
              <w:jc w:val="left"/>
              <w:rPr/>
            </w:pPr>
            <w:r>
              <w:rPr/>
              <w:t>Khoản mục</w:t>
            </w:r>
          </w:p>
        </w:tc>
        <w:tc>
          <w:tcPr>
            <w:tcW w:w="1386" w:type="dxa"/>
            <w:tcBorders/>
            <w:vAlign w:val="center"/>
          </w:tcPr>
          <w:p>
            <w:pPr>
              <w:pStyle w:val="TableHeading"/>
              <w:bidi w:val="0"/>
              <w:jc w:val="center"/>
              <w:rPr/>
            </w:pPr>
            <w:r>
              <w:rPr/>
              <w:t>Tổng chi phí (1.000đ)</w:t>
            </w:r>
          </w:p>
        </w:tc>
        <w:tc>
          <w:tcPr>
            <w:tcW w:w="1198" w:type="dxa"/>
            <w:tcBorders/>
            <w:vAlign w:val="center"/>
          </w:tcPr>
          <w:p>
            <w:pPr>
              <w:pStyle w:val="TableHeading"/>
              <w:bidi w:val="0"/>
              <w:jc w:val="center"/>
              <w:rPr/>
            </w:pPr>
            <w:r>
              <w:rPr/>
              <w:t>Số lượng TP tiêu chuẩn</w:t>
            </w:r>
          </w:p>
        </w:tc>
        <w:tc>
          <w:tcPr>
            <w:tcW w:w="2019" w:type="dxa"/>
            <w:tcBorders/>
            <w:vAlign w:val="center"/>
          </w:tcPr>
          <w:p>
            <w:pPr>
              <w:pStyle w:val="TableHeading"/>
              <w:bidi w:val="0"/>
              <w:jc w:val="center"/>
              <w:rPr/>
            </w:pPr>
            <w:r>
              <w:rPr/>
              <w:t>Giá thành đơn vị theo TP tiêu chuẩn (1.000đ/TP)</w:t>
            </w:r>
          </w:p>
        </w:tc>
        <w:tc>
          <w:tcPr>
            <w:tcW w:w="1646" w:type="dxa"/>
            <w:tcBorders/>
            <w:vAlign w:val="center"/>
          </w:tcPr>
          <w:p>
            <w:pPr>
              <w:pStyle w:val="TableHeading"/>
              <w:bidi w:val="0"/>
              <w:jc w:val="center"/>
              <w:rPr/>
            </w:pPr>
            <w:r>
              <w:rPr/>
              <w:t>Giá thành đơn vị SP X (1.000đ/TP)</w:t>
            </w:r>
          </w:p>
        </w:tc>
        <w:tc>
          <w:tcPr>
            <w:tcW w:w="1694" w:type="dxa"/>
            <w:tcBorders/>
            <w:vAlign w:val="center"/>
          </w:tcPr>
          <w:p>
            <w:pPr>
              <w:pStyle w:val="TableHeading"/>
              <w:bidi w:val="0"/>
              <w:jc w:val="center"/>
              <w:rPr/>
            </w:pPr>
            <w:r>
              <w:rPr/>
              <w:t>Giá thành đơn vị SP Y (1.000đ/TP)</w:t>
            </w:r>
          </w:p>
        </w:tc>
      </w:tr>
      <w:tr>
        <w:trPr/>
        <w:tc>
          <w:tcPr>
            <w:tcW w:w="1320" w:type="dxa"/>
            <w:tcBorders/>
            <w:vAlign w:val="center"/>
          </w:tcPr>
          <w:p>
            <w:pPr>
              <w:pStyle w:val="TableContents"/>
              <w:bidi w:val="0"/>
              <w:jc w:val="left"/>
              <w:rPr/>
            </w:pPr>
            <w:r>
              <w:rPr/>
              <w:t>Chi phí NVL trực tiếp</w:t>
            </w:r>
          </w:p>
        </w:tc>
        <w:tc>
          <w:tcPr>
            <w:tcW w:w="1386" w:type="dxa"/>
            <w:tcBorders/>
            <w:vAlign w:val="center"/>
          </w:tcPr>
          <w:p>
            <w:pPr>
              <w:pStyle w:val="TableContents"/>
              <w:bidi w:val="0"/>
              <w:jc w:val="center"/>
              <w:rPr/>
            </w:pPr>
            <w:r>
              <w:rPr/>
              <w:t>1.850.000</w:t>
            </w:r>
          </w:p>
        </w:tc>
        <w:tc>
          <w:tcPr>
            <w:tcW w:w="1198" w:type="dxa"/>
            <w:tcBorders/>
            <w:vAlign w:val="center"/>
          </w:tcPr>
          <w:p>
            <w:pPr>
              <w:pStyle w:val="TableContents"/>
              <w:bidi w:val="0"/>
              <w:jc w:val="center"/>
              <w:rPr/>
            </w:pPr>
            <w:r>
              <w:rPr/>
              <w:t>5.000</w:t>
            </w:r>
          </w:p>
        </w:tc>
        <w:tc>
          <w:tcPr>
            <w:tcW w:w="2019" w:type="dxa"/>
            <w:tcBorders/>
            <w:vAlign w:val="center"/>
          </w:tcPr>
          <w:p>
            <w:pPr>
              <w:pStyle w:val="TableContents"/>
              <w:bidi w:val="0"/>
              <w:jc w:val="center"/>
              <w:rPr/>
            </w:pPr>
            <w:r>
              <w:rPr/>
              <w:t>370</w:t>
            </w:r>
          </w:p>
        </w:tc>
        <w:tc>
          <w:tcPr>
            <w:tcW w:w="1646" w:type="dxa"/>
            <w:tcBorders/>
            <w:vAlign w:val="center"/>
          </w:tcPr>
          <w:p>
            <w:pPr>
              <w:pStyle w:val="TableContents"/>
              <w:bidi w:val="0"/>
              <w:jc w:val="center"/>
              <w:rPr/>
            </w:pPr>
            <w:r>
              <w:rPr/>
              <w:t>370</w:t>
            </w:r>
          </w:p>
        </w:tc>
        <w:tc>
          <w:tcPr>
            <w:tcW w:w="1694" w:type="dxa"/>
            <w:tcBorders/>
            <w:vAlign w:val="center"/>
          </w:tcPr>
          <w:p>
            <w:pPr>
              <w:pStyle w:val="TableContents"/>
              <w:bidi w:val="0"/>
              <w:jc w:val="center"/>
              <w:rPr/>
            </w:pPr>
            <w:r>
              <w:rPr/>
              <w:t>555</w:t>
            </w:r>
          </w:p>
        </w:tc>
      </w:tr>
      <w:tr>
        <w:trPr/>
        <w:tc>
          <w:tcPr>
            <w:tcW w:w="1320" w:type="dxa"/>
            <w:tcBorders/>
            <w:vAlign w:val="center"/>
          </w:tcPr>
          <w:p>
            <w:pPr>
              <w:pStyle w:val="TableContents"/>
              <w:bidi w:val="0"/>
              <w:jc w:val="left"/>
              <w:rPr/>
            </w:pPr>
            <w:r>
              <w:rPr/>
              <w:t>Chi phí nhân công trực tiếp</w:t>
            </w:r>
          </w:p>
        </w:tc>
        <w:tc>
          <w:tcPr>
            <w:tcW w:w="1386" w:type="dxa"/>
            <w:tcBorders/>
            <w:vAlign w:val="center"/>
          </w:tcPr>
          <w:p>
            <w:pPr>
              <w:pStyle w:val="TableContents"/>
              <w:bidi w:val="0"/>
              <w:jc w:val="center"/>
              <w:rPr/>
            </w:pPr>
            <w:r>
              <w:rPr/>
              <w:t>870.000</w:t>
            </w:r>
          </w:p>
        </w:tc>
        <w:tc>
          <w:tcPr>
            <w:tcW w:w="1198" w:type="dxa"/>
            <w:tcBorders/>
            <w:vAlign w:val="center"/>
          </w:tcPr>
          <w:p>
            <w:pPr>
              <w:pStyle w:val="TableContents"/>
              <w:bidi w:val="0"/>
              <w:jc w:val="center"/>
              <w:rPr/>
            </w:pPr>
            <w:r>
              <w:rPr/>
              <w:t>5.000</w:t>
            </w:r>
          </w:p>
        </w:tc>
        <w:tc>
          <w:tcPr>
            <w:tcW w:w="2019" w:type="dxa"/>
            <w:tcBorders/>
            <w:vAlign w:val="center"/>
          </w:tcPr>
          <w:p>
            <w:pPr>
              <w:pStyle w:val="TableContents"/>
              <w:bidi w:val="0"/>
              <w:jc w:val="center"/>
              <w:rPr/>
            </w:pPr>
            <w:r>
              <w:rPr/>
              <w:t>174</w:t>
            </w:r>
          </w:p>
        </w:tc>
        <w:tc>
          <w:tcPr>
            <w:tcW w:w="1646" w:type="dxa"/>
            <w:tcBorders/>
            <w:vAlign w:val="center"/>
          </w:tcPr>
          <w:p>
            <w:pPr>
              <w:pStyle w:val="TableContents"/>
              <w:bidi w:val="0"/>
              <w:jc w:val="center"/>
              <w:rPr/>
            </w:pPr>
            <w:r>
              <w:rPr/>
              <w:t>174</w:t>
            </w:r>
          </w:p>
        </w:tc>
        <w:tc>
          <w:tcPr>
            <w:tcW w:w="1694" w:type="dxa"/>
            <w:tcBorders/>
            <w:vAlign w:val="center"/>
          </w:tcPr>
          <w:p>
            <w:pPr>
              <w:pStyle w:val="TableContents"/>
              <w:bidi w:val="0"/>
              <w:jc w:val="center"/>
              <w:rPr/>
            </w:pPr>
            <w:r>
              <w:rPr/>
              <w:t>261</w:t>
            </w:r>
          </w:p>
        </w:tc>
      </w:tr>
      <w:tr>
        <w:trPr/>
        <w:tc>
          <w:tcPr>
            <w:tcW w:w="1320" w:type="dxa"/>
            <w:tcBorders/>
            <w:vAlign w:val="center"/>
          </w:tcPr>
          <w:p>
            <w:pPr>
              <w:pStyle w:val="TableContents"/>
              <w:bidi w:val="0"/>
              <w:jc w:val="left"/>
              <w:rPr/>
            </w:pPr>
            <w:r>
              <w:rPr/>
              <w:t>Chi phí SX chung</w:t>
            </w:r>
          </w:p>
        </w:tc>
        <w:tc>
          <w:tcPr>
            <w:tcW w:w="1386" w:type="dxa"/>
            <w:tcBorders/>
            <w:vAlign w:val="center"/>
          </w:tcPr>
          <w:p>
            <w:pPr>
              <w:pStyle w:val="TableContents"/>
              <w:bidi w:val="0"/>
              <w:jc w:val="center"/>
              <w:rPr/>
            </w:pPr>
            <w:r>
              <w:rPr/>
              <w:t>980.000</w:t>
            </w:r>
          </w:p>
        </w:tc>
        <w:tc>
          <w:tcPr>
            <w:tcW w:w="1198" w:type="dxa"/>
            <w:tcBorders/>
            <w:vAlign w:val="center"/>
          </w:tcPr>
          <w:p>
            <w:pPr>
              <w:pStyle w:val="TableContents"/>
              <w:bidi w:val="0"/>
              <w:jc w:val="center"/>
              <w:rPr/>
            </w:pPr>
            <w:r>
              <w:rPr/>
              <w:t>5.000</w:t>
            </w:r>
          </w:p>
        </w:tc>
        <w:tc>
          <w:tcPr>
            <w:tcW w:w="2019" w:type="dxa"/>
            <w:tcBorders/>
            <w:vAlign w:val="center"/>
          </w:tcPr>
          <w:p>
            <w:pPr>
              <w:pStyle w:val="TableContents"/>
              <w:bidi w:val="0"/>
              <w:jc w:val="center"/>
              <w:rPr/>
            </w:pPr>
            <w:r>
              <w:rPr/>
              <w:t>196</w:t>
            </w:r>
          </w:p>
        </w:tc>
        <w:tc>
          <w:tcPr>
            <w:tcW w:w="1646" w:type="dxa"/>
            <w:tcBorders/>
            <w:vAlign w:val="center"/>
          </w:tcPr>
          <w:p>
            <w:pPr>
              <w:pStyle w:val="TableContents"/>
              <w:bidi w:val="0"/>
              <w:jc w:val="center"/>
              <w:rPr/>
            </w:pPr>
            <w:r>
              <w:rPr/>
              <w:t>196</w:t>
            </w:r>
          </w:p>
        </w:tc>
        <w:tc>
          <w:tcPr>
            <w:tcW w:w="1694" w:type="dxa"/>
            <w:tcBorders/>
            <w:vAlign w:val="center"/>
          </w:tcPr>
          <w:p>
            <w:pPr>
              <w:pStyle w:val="TableContents"/>
              <w:bidi w:val="0"/>
              <w:jc w:val="center"/>
              <w:rPr/>
            </w:pPr>
            <w:r>
              <w:rPr/>
              <w:t>294</w:t>
            </w:r>
          </w:p>
        </w:tc>
      </w:tr>
      <w:tr>
        <w:trPr/>
        <w:tc>
          <w:tcPr>
            <w:tcW w:w="1320" w:type="dxa"/>
            <w:tcBorders/>
            <w:vAlign w:val="center"/>
          </w:tcPr>
          <w:p>
            <w:pPr>
              <w:pStyle w:val="TableContents"/>
              <w:bidi w:val="0"/>
              <w:jc w:val="left"/>
              <w:rPr/>
            </w:pPr>
            <w:r>
              <w:rPr>
                <w:rStyle w:val="Strong"/>
              </w:rPr>
              <w:t>Tổng</w:t>
            </w:r>
          </w:p>
        </w:tc>
        <w:tc>
          <w:tcPr>
            <w:tcW w:w="1386" w:type="dxa"/>
            <w:tcBorders/>
            <w:vAlign w:val="center"/>
          </w:tcPr>
          <w:p>
            <w:pPr>
              <w:pStyle w:val="TableContents"/>
              <w:bidi w:val="0"/>
              <w:jc w:val="center"/>
              <w:rPr/>
            </w:pPr>
            <w:r>
              <w:rPr>
                <w:rStyle w:val="Strong"/>
              </w:rPr>
              <w:t>3.700.000</w:t>
            </w:r>
          </w:p>
        </w:tc>
        <w:tc>
          <w:tcPr>
            <w:tcW w:w="1198" w:type="dxa"/>
            <w:tcBorders/>
            <w:vAlign w:val="center"/>
          </w:tcPr>
          <w:p>
            <w:pPr>
              <w:pStyle w:val="TableContents"/>
              <w:bidi w:val="0"/>
              <w:jc w:val="center"/>
              <w:rPr/>
            </w:pPr>
            <w:r>
              <w:rPr>
                <w:rStyle w:val="Strong"/>
              </w:rPr>
              <w:t>5.000</w:t>
            </w:r>
          </w:p>
        </w:tc>
        <w:tc>
          <w:tcPr>
            <w:tcW w:w="2019" w:type="dxa"/>
            <w:tcBorders/>
            <w:vAlign w:val="center"/>
          </w:tcPr>
          <w:p>
            <w:pPr>
              <w:pStyle w:val="TableContents"/>
              <w:bidi w:val="0"/>
              <w:jc w:val="center"/>
              <w:rPr/>
            </w:pPr>
            <w:r>
              <w:rPr>
                <w:rStyle w:val="Strong"/>
              </w:rPr>
              <w:t>740</w:t>
            </w:r>
          </w:p>
        </w:tc>
        <w:tc>
          <w:tcPr>
            <w:tcW w:w="1646" w:type="dxa"/>
            <w:tcBorders/>
            <w:vAlign w:val="center"/>
          </w:tcPr>
          <w:p>
            <w:pPr>
              <w:pStyle w:val="TableContents"/>
              <w:bidi w:val="0"/>
              <w:jc w:val="center"/>
              <w:rPr/>
            </w:pPr>
            <w:r>
              <w:rPr>
                <w:rStyle w:val="Strong"/>
              </w:rPr>
              <w:t>740</w:t>
            </w:r>
          </w:p>
        </w:tc>
        <w:tc>
          <w:tcPr>
            <w:tcW w:w="1694" w:type="dxa"/>
            <w:tcBorders/>
            <w:vAlign w:val="center"/>
          </w:tcPr>
          <w:p>
            <w:pPr>
              <w:pStyle w:val="TableContents"/>
              <w:bidi w:val="0"/>
              <w:jc w:val="center"/>
              <w:rPr/>
            </w:pPr>
            <w:r>
              <w:rPr>
                <w:rStyle w:val="Strong"/>
              </w:rPr>
              <w:t>1.110</w:t>
            </w:r>
          </w:p>
        </w:tc>
      </w:tr>
    </w:tbl>
    <w:p>
      <w:pPr>
        <w:pStyle w:val="BodyText"/>
        <w:numPr>
          <w:ilvl w:val="0"/>
          <w:numId w:val="6"/>
        </w:numPr>
        <w:tabs>
          <w:tab w:val="clear" w:pos="709"/>
          <w:tab w:val="left" w:pos="709" w:leader="none"/>
        </w:tabs>
        <w:bidi w:val="0"/>
        <w:ind w:hanging="283" w:left="709"/>
        <w:jc w:val="left"/>
        <w:rPr/>
      </w:pPr>
      <w:r>
        <w:rPr>
          <w:rStyle w:val="Strong"/>
        </w:rPr>
        <w:t>Bảng giá thành thành phẩm X</w:t>
      </w:r>
    </w:p>
    <w:tbl>
      <w:tblPr>
        <w:tblW w:w="9263" w:type="dxa"/>
        <w:jc w:val="left"/>
        <w:tblInd w:w="709" w:type="dxa"/>
        <w:tblLayout w:type="fixed"/>
        <w:tblCellMar>
          <w:top w:w="28" w:type="dxa"/>
          <w:left w:w="28" w:type="dxa"/>
          <w:bottom w:w="28" w:type="dxa"/>
          <w:right w:w="28" w:type="dxa"/>
        </w:tblCellMar>
      </w:tblPr>
      <w:tblGrid>
        <w:gridCol w:w="2511"/>
        <w:gridCol w:w="2841"/>
        <w:gridCol w:w="3911"/>
      </w:tblGrid>
      <w:tr>
        <w:trPr>
          <w:tblHeader w:val="true"/>
        </w:trPr>
        <w:tc>
          <w:tcPr>
            <w:tcW w:w="2511" w:type="dxa"/>
            <w:tcBorders/>
            <w:vAlign w:val="center"/>
          </w:tcPr>
          <w:p>
            <w:pPr>
              <w:pStyle w:val="TableHeading"/>
              <w:bidi w:val="0"/>
              <w:jc w:val="left"/>
              <w:rPr/>
            </w:pPr>
            <w:r>
              <w:rPr/>
              <w:t>Khoản mục</w:t>
            </w:r>
          </w:p>
        </w:tc>
        <w:tc>
          <w:tcPr>
            <w:tcW w:w="2841" w:type="dxa"/>
            <w:tcBorders/>
            <w:vAlign w:val="center"/>
          </w:tcPr>
          <w:p>
            <w:pPr>
              <w:pStyle w:val="TableHeading"/>
              <w:bidi w:val="0"/>
              <w:jc w:val="center"/>
              <w:rPr/>
            </w:pPr>
            <w:r>
              <w:rPr/>
              <w:t>Giá thành đơn vị (1.000đ/TP)</w:t>
            </w:r>
          </w:p>
        </w:tc>
        <w:tc>
          <w:tcPr>
            <w:tcW w:w="3911" w:type="dxa"/>
            <w:tcBorders/>
            <w:vAlign w:val="center"/>
          </w:tcPr>
          <w:p>
            <w:pPr>
              <w:pStyle w:val="TableHeading"/>
              <w:bidi w:val="0"/>
              <w:jc w:val="center"/>
              <w:rPr/>
            </w:pPr>
            <w:r>
              <w:rPr/>
              <w:t>Tổng giá thành SP X (2.600 TP) (1.000đ)</w:t>
            </w:r>
          </w:p>
        </w:tc>
      </w:tr>
      <w:tr>
        <w:trPr/>
        <w:tc>
          <w:tcPr>
            <w:tcW w:w="2511" w:type="dxa"/>
            <w:tcBorders/>
            <w:vAlign w:val="center"/>
          </w:tcPr>
          <w:p>
            <w:pPr>
              <w:pStyle w:val="TableContents"/>
              <w:bidi w:val="0"/>
              <w:jc w:val="left"/>
              <w:rPr/>
            </w:pPr>
            <w:r>
              <w:rPr/>
              <w:t>Chi phí NVL trực tiếp</w:t>
            </w:r>
          </w:p>
        </w:tc>
        <w:tc>
          <w:tcPr>
            <w:tcW w:w="2841" w:type="dxa"/>
            <w:tcBorders/>
            <w:vAlign w:val="center"/>
          </w:tcPr>
          <w:p>
            <w:pPr>
              <w:pStyle w:val="TableContents"/>
              <w:bidi w:val="0"/>
              <w:jc w:val="center"/>
              <w:rPr/>
            </w:pPr>
            <w:r>
              <w:rPr/>
              <w:t>370</w:t>
            </w:r>
          </w:p>
        </w:tc>
        <w:tc>
          <w:tcPr>
            <w:tcW w:w="3911" w:type="dxa"/>
            <w:tcBorders/>
            <w:vAlign w:val="center"/>
          </w:tcPr>
          <w:p>
            <w:pPr>
              <w:pStyle w:val="TableContents"/>
              <w:bidi w:val="0"/>
              <w:jc w:val="center"/>
              <w:rPr/>
            </w:pPr>
            <w:r>
              <w:rPr/>
              <w:t>962.000</w:t>
            </w:r>
          </w:p>
        </w:tc>
      </w:tr>
      <w:tr>
        <w:trPr/>
        <w:tc>
          <w:tcPr>
            <w:tcW w:w="2511" w:type="dxa"/>
            <w:tcBorders/>
            <w:vAlign w:val="center"/>
          </w:tcPr>
          <w:p>
            <w:pPr>
              <w:pStyle w:val="TableContents"/>
              <w:bidi w:val="0"/>
              <w:jc w:val="left"/>
              <w:rPr/>
            </w:pPr>
            <w:r>
              <w:rPr/>
              <w:t>Chi phí nhân công trực tiếp</w:t>
            </w:r>
          </w:p>
        </w:tc>
        <w:tc>
          <w:tcPr>
            <w:tcW w:w="2841" w:type="dxa"/>
            <w:tcBorders/>
            <w:vAlign w:val="center"/>
          </w:tcPr>
          <w:p>
            <w:pPr>
              <w:pStyle w:val="TableContents"/>
              <w:bidi w:val="0"/>
              <w:jc w:val="center"/>
              <w:rPr/>
            </w:pPr>
            <w:r>
              <w:rPr/>
              <w:t>174</w:t>
            </w:r>
          </w:p>
        </w:tc>
        <w:tc>
          <w:tcPr>
            <w:tcW w:w="3911" w:type="dxa"/>
            <w:tcBorders/>
            <w:vAlign w:val="center"/>
          </w:tcPr>
          <w:p>
            <w:pPr>
              <w:pStyle w:val="TableContents"/>
              <w:bidi w:val="0"/>
              <w:jc w:val="center"/>
              <w:rPr/>
            </w:pPr>
            <w:r>
              <w:rPr/>
              <w:t>452.400</w:t>
            </w:r>
          </w:p>
        </w:tc>
      </w:tr>
      <w:tr>
        <w:trPr/>
        <w:tc>
          <w:tcPr>
            <w:tcW w:w="2511" w:type="dxa"/>
            <w:tcBorders/>
            <w:vAlign w:val="center"/>
          </w:tcPr>
          <w:p>
            <w:pPr>
              <w:pStyle w:val="TableContents"/>
              <w:bidi w:val="0"/>
              <w:jc w:val="left"/>
              <w:rPr/>
            </w:pPr>
            <w:r>
              <w:rPr/>
              <w:t>Chi phí SX chung</w:t>
            </w:r>
          </w:p>
        </w:tc>
        <w:tc>
          <w:tcPr>
            <w:tcW w:w="2841" w:type="dxa"/>
            <w:tcBorders/>
            <w:vAlign w:val="center"/>
          </w:tcPr>
          <w:p>
            <w:pPr>
              <w:pStyle w:val="TableContents"/>
              <w:bidi w:val="0"/>
              <w:jc w:val="center"/>
              <w:rPr/>
            </w:pPr>
            <w:r>
              <w:rPr/>
              <w:t>196</w:t>
            </w:r>
          </w:p>
        </w:tc>
        <w:tc>
          <w:tcPr>
            <w:tcW w:w="3911" w:type="dxa"/>
            <w:tcBorders/>
            <w:vAlign w:val="center"/>
          </w:tcPr>
          <w:p>
            <w:pPr>
              <w:pStyle w:val="TableContents"/>
              <w:bidi w:val="0"/>
              <w:jc w:val="center"/>
              <w:rPr/>
            </w:pPr>
            <w:r>
              <w:rPr/>
              <w:t>509.600</w:t>
            </w:r>
          </w:p>
        </w:tc>
      </w:tr>
      <w:tr>
        <w:trPr/>
        <w:tc>
          <w:tcPr>
            <w:tcW w:w="2511" w:type="dxa"/>
            <w:tcBorders/>
            <w:vAlign w:val="center"/>
          </w:tcPr>
          <w:p>
            <w:pPr>
              <w:pStyle w:val="TableContents"/>
              <w:bidi w:val="0"/>
              <w:jc w:val="left"/>
              <w:rPr/>
            </w:pPr>
            <w:r>
              <w:rPr>
                <w:rStyle w:val="Strong"/>
              </w:rPr>
              <w:t>Tổng</w:t>
            </w:r>
          </w:p>
        </w:tc>
        <w:tc>
          <w:tcPr>
            <w:tcW w:w="2841" w:type="dxa"/>
            <w:tcBorders/>
            <w:vAlign w:val="center"/>
          </w:tcPr>
          <w:p>
            <w:pPr>
              <w:pStyle w:val="TableContents"/>
              <w:bidi w:val="0"/>
              <w:jc w:val="center"/>
              <w:rPr/>
            </w:pPr>
            <w:r>
              <w:rPr>
                <w:rStyle w:val="Strong"/>
              </w:rPr>
              <w:t>740</w:t>
            </w:r>
          </w:p>
        </w:tc>
        <w:tc>
          <w:tcPr>
            <w:tcW w:w="3911" w:type="dxa"/>
            <w:tcBorders/>
            <w:vAlign w:val="center"/>
          </w:tcPr>
          <w:p>
            <w:pPr>
              <w:pStyle w:val="TableContents"/>
              <w:bidi w:val="0"/>
              <w:jc w:val="center"/>
              <w:rPr/>
            </w:pPr>
            <w:r>
              <w:rPr>
                <w:rStyle w:val="Strong"/>
              </w:rPr>
              <w:t>1.924.000</w:t>
            </w:r>
          </w:p>
        </w:tc>
      </w:tr>
    </w:tbl>
    <w:p>
      <w:pPr>
        <w:pStyle w:val="BodyText"/>
        <w:numPr>
          <w:ilvl w:val="0"/>
          <w:numId w:val="6"/>
        </w:numPr>
        <w:tabs>
          <w:tab w:val="clear" w:pos="709"/>
          <w:tab w:val="left" w:pos="709" w:leader="none"/>
        </w:tabs>
        <w:bidi w:val="0"/>
        <w:ind w:hanging="283" w:left="709"/>
        <w:jc w:val="left"/>
        <w:rPr/>
      </w:pPr>
      <w:r>
        <w:rPr>
          <w:rStyle w:val="Strong"/>
        </w:rPr>
        <w:t>Bảng giá thành thành phẩm Y</w:t>
      </w:r>
    </w:p>
    <w:tbl>
      <w:tblPr>
        <w:tblW w:w="9263" w:type="dxa"/>
        <w:jc w:val="left"/>
        <w:tblInd w:w="709" w:type="dxa"/>
        <w:tblLayout w:type="fixed"/>
        <w:tblCellMar>
          <w:top w:w="28" w:type="dxa"/>
          <w:left w:w="28" w:type="dxa"/>
          <w:bottom w:w="28" w:type="dxa"/>
          <w:right w:w="28" w:type="dxa"/>
        </w:tblCellMar>
      </w:tblPr>
      <w:tblGrid>
        <w:gridCol w:w="2511"/>
        <w:gridCol w:w="2841"/>
        <w:gridCol w:w="3911"/>
      </w:tblGrid>
      <w:tr>
        <w:trPr>
          <w:tblHeader w:val="true"/>
        </w:trPr>
        <w:tc>
          <w:tcPr>
            <w:tcW w:w="2511" w:type="dxa"/>
            <w:tcBorders/>
            <w:vAlign w:val="center"/>
          </w:tcPr>
          <w:p>
            <w:pPr>
              <w:pStyle w:val="TableHeading"/>
              <w:bidi w:val="0"/>
              <w:jc w:val="left"/>
              <w:rPr/>
            </w:pPr>
            <w:r>
              <w:rPr/>
              <w:t>Khoản mục</w:t>
            </w:r>
          </w:p>
        </w:tc>
        <w:tc>
          <w:tcPr>
            <w:tcW w:w="2841" w:type="dxa"/>
            <w:tcBorders/>
            <w:vAlign w:val="center"/>
          </w:tcPr>
          <w:p>
            <w:pPr>
              <w:pStyle w:val="TableHeading"/>
              <w:bidi w:val="0"/>
              <w:jc w:val="center"/>
              <w:rPr/>
            </w:pPr>
            <w:r>
              <w:rPr/>
              <w:t>Giá thành đơn vị (1.000đ/TP)</w:t>
            </w:r>
          </w:p>
        </w:tc>
        <w:tc>
          <w:tcPr>
            <w:tcW w:w="3911" w:type="dxa"/>
            <w:tcBorders/>
            <w:vAlign w:val="center"/>
          </w:tcPr>
          <w:p>
            <w:pPr>
              <w:pStyle w:val="TableHeading"/>
              <w:bidi w:val="0"/>
              <w:jc w:val="center"/>
              <w:rPr/>
            </w:pPr>
            <w:r>
              <w:rPr/>
              <w:t>Tổng giá thành SP Y (1.600 TP) (1.000đ)</w:t>
            </w:r>
          </w:p>
        </w:tc>
      </w:tr>
      <w:tr>
        <w:trPr/>
        <w:tc>
          <w:tcPr>
            <w:tcW w:w="2511" w:type="dxa"/>
            <w:tcBorders/>
            <w:vAlign w:val="center"/>
          </w:tcPr>
          <w:p>
            <w:pPr>
              <w:pStyle w:val="TableContents"/>
              <w:bidi w:val="0"/>
              <w:jc w:val="left"/>
              <w:rPr/>
            </w:pPr>
            <w:r>
              <w:rPr/>
              <w:t>Chi phí NVL trực tiếp</w:t>
            </w:r>
          </w:p>
        </w:tc>
        <w:tc>
          <w:tcPr>
            <w:tcW w:w="2841" w:type="dxa"/>
            <w:tcBorders/>
            <w:vAlign w:val="center"/>
          </w:tcPr>
          <w:p>
            <w:pPr>
              <w:pStyle w:val="TableContents"/>
              <w:bidi w:val="0"/>
              <w:jc w:val="center"/>
              <w:rPr/>
            </w:pPr>
            <w:r>
              <w:rPr/>
              <w:t>555</w:t>
            </w:r>
          </w:p>
        </w:tc>
        <w:tc>
          <w:tcPr>
            <w:tcW w:w="3911" w:type="dxa"/>
            <w:tcBorders/>
            <w:vAlign w:val="center"/>
          </w:tcPr>
          <w:p>
            <w:pPr>
              <w:pStyle w:val="TableContents"/>
              <w:bidi w:val="0"/>
              <w:jc w:val="center"/>
              <w:rPr/>
            </w:pPr>
            <w:r>
              <w:rPr/>
              <w:t>888.000</w:t>
            </w:r>
          </w:p>
        </w:tc>
      </w:tr>
      <w:tr>
        <w:trPr/>
        <w:tc>
          <w:tcPr>
            <w:tcW w:w="2511" w:type="dxa"/>
            <w:tcBorders/>
            <w:vAlign w:val="center"/>
          </w:tcPr>
          <w:p>
            <w:pPr>
              <w:pStyle w:val="TableContents"/>
              <w:bidi w:val="0"/>
              <w:jc w:val="left"/>
              <w:rPr/>
            </w:pPr>
            <w:r>
              <w:rPr/>
              <w:t>Chi phí nhân công trực tiếp</w:t>
            </w:r>
          </w:p>
        </w:tc>
        <w:tc>
          <w:tcPr>
            <w:tcW w:w="2841" w:type="dxa"/>
            <w:tcBorders/>
            <w:vAlign w:val="center"/>
          </w:tcPr>
          <w:p>
            <w:pPr>
              <w:pStyle w:val="TableContents"/>
              <w:bidi w:val="0"/>
              <w:jc w:val="center"/>
              <w:rPr/>
            </w:pPr>
            <w:r>
              <w:rPr/>
              <w:t>261</w:t>
            </w:r>
          </w:p>
        </w:tc>
        <w:tc>
          <w:tcPr>
            <w:tcW w:w="3911" w:type="dxa"/>
            <w:tcBorders/>
            <w:vAlign w:val="center"/>
          </w:tcPr>
          <w:p>
            <w:pPr>
              <w:pStyle w:val="TableContents"/>
              <w:bidi w:val="0"/>
              <w:jc w:val="center"/>
              <w:rPr/>
            </w:pPr>
            <w:r>
              <w:rPr/>
              <w:t>417.600</w:t>
            </w:r>
          </w:p>
        </w:tc>
      </w:tr>
      <w:tr>
        <w:trPr/>
        <w:tc>
          <w:tcPr>
            <w:tcW w:w="2511" w:type="dxa"/>
            <w:tcBorders/>
            <w:vAlign w:val="center"/>
          </w:tcPr>
          <w:p>
            <w:pPr>
              <w:pStyle w:val="TableContents"/>
              <w:bidi w:val="0"/>
              <w:jc w:val="left"/>
              <w:rPr/>
            </w:pPr>
            <w:r>
              <w:rPr/>
              <w:t>Chi phí SX chung</w:t>
            </w:r>
          </w:p>
        </w:tc>
        <w:tc>
          <w:tcPr>
            <w:tcW w:w="2841" w:type="dxa"/>
            <w:tcBorders/>
            <w:vAlign w:val="center"/>
          </w:tcPr>
          <w:p>
            <w:pPr>
              <w:pStyle w:val="TableContents"/>
              <w:bidi w:val="0"/>
              <w:jc w:val="center"/>
              <w:rPr/>
            </w:pPr>
            <w:r>
              <w:rPr/>
              <w:t>294</w:t>
            </w:r>
          </w:p>
        </w:tc>
        <w:tc>
          <w:tcPr>
            <w:tcW w:w="3911" w:type="dxa"/>
            <w:tcBorders/>
            <w:vAlign w:val="center"/>
          </w:tcPr>
          <w:p>
            <w:pPr>
              <w:pStyle w:val="TableContents"/>
              <w:bidi w:val="0"/>
              <w:jc w:val="center"/>
              <w:rPr/>
            </w:pPr>
            <w:r>
              <w:rPr/>
              <w:t>470.400</w:t>
            </w:r>
          </w:p>
        </w:tc>
      </w:tr>
      <w:tr>
        <w:trPr/>
        <w:tc>
          <w:tcPr>
            <w:tcW w:w="2511" w:type="dxa"/>
            <w:tcBorders/>
            <w:vAlign w:val="center"/>
          </w:tcPr>
          <w:p>
            <w:pPr>
              <w:pStyle w:val="TableContents"/>
              <w:bidi w:val="0"/>
              <w:jc w:val="left"/>
              <w:rPr/>
            </w:pPr>
            <w:r>
              <w:rPr>
                <w:rStyle w:val="Strong"/>
              </w:rPr>
              <w:t>Tổng</w:t>
            </w:r>
          </w:p>
        </w:tc>
        <w:tc>
          <w:tcPr>
            <w:tcW w:w="2841" w:type="dxa"/>
            <w:tcBorders/>
            <w:vAlign w:val="center"/>
          </w:tcPr>
          <w:p>
            <w:pPr>
              <w:pStyle w:val="TableContents"/>
              <w:bidi w:val="0"/>
              <w:jc w:val="center"/>
              <w:rPr/>
            </w:pPr>
            <w:r>
              <w:rPr>
                <w:rStyle w:val="Strong"/>
              </w:rPr>
              <w:t>1.110</w:t>
            </w:r>
          </w:p>
        </w:tc>
        <w:tc>
          <w:tcPr>
            <w:tcW w:w="3911" w:type="dxa"/>
            <w:tcBorders/>
            <w:vAlign w:val="center"/>
          </w:tcPr>
          <w:p>
            <w:pPr>
              <w:pStyle w:val="TableContents"/>
              <w:bidi w:val="0"/>
              <w:jc w:val="center"/>
              <w:rPr/>
            </w:pPr>
            <w:r>
              <w:rPr>
                <w:rStyle w:val="Strong"/>
              </w:rPr>
              <w:t>1.776.000</w:t>
            </w:r>
          </w:p>
        </w:tc>
      </w:tr>
    </w:tbl>
    <w:p>
      <w:pPr>
        <w:pStyle w:val="BodyText"/>
        <w:bidi w:val="0"/>
        <w:jc w:val="left"/>
        <w:rPr/>
      </w:pPr>
      <w:r>
        <w:rPr/>
      </w:r>
    </w:p>
    <w:p>
      <w:pPr>
        <w:pStyle w:val="BodyText"/>
        <w:bidi w:val="0"/>
        <w:spacing w:before="0" w:after="140"/>
        <w:jc w:val="left"/>
        <w:rPr>
          <w:rStyle w:val="Strong"/>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paragraph" w:styleId="Heading4">
    <w:name w:val="Heading 4"/>
    <w:basedOn w:val="Heading"/>
    <w:next w:val="BodyText"/>
    <w:qFormat/>
    <w:pPr>
      <w:spacing w:before="120" w:after="120"/>
      <w:outlineLvl w:val="3"/>
    </w:pPr>
    <w:rPr>
      <w:rFonts w:ascii="Liberation Serif" w:hAnsi="Liberation Serif" w:eastAsia="NSimSun" w:cs="Arial"/>
      <w:b/>
      <w:bCs/>
      <w:sz w:val="24"/>
      <w:szCs w:val="24"/>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LibreOffice/24.2.4.2$Windows_X86_64 LibreOffice_project/51a6219feb6075d9a4c46691dcfe0cd9c4fff3c2</Application>
  <AppVersion>15.0000</AppVersion>
  <Pages>8</Pages>
  <Words>3111</Words>
  <Characters>10713</Characters>
  <CharactersWithSpaces>13560</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2025-04-23T14:31:28Z</dcterms:created>
  <dc:creator/>
  <dc:description/>
  <dc:language>en-US</dc:language>
  <cp:lastModifiedBy/>
  <dcterms:modified xsi:type="dcterms:W3CDTF">2025-04-23T14:38:18Z</dcterms:modified>
  <cp:revision>1</cp:revision>
  <dc:subject/>
  <dc:title/>
</cp:coreProperties>
</file>