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Đề thi Đại lý thuế 2022 môn Pháp luật thuế</w:t>
      </w:r>
    </w:p>
    <w:p>
      <w:pPr>
        <w:pStyle w:val="Heading2"/>
        <w:bidi w:val="0"/>
        <w:jc w:val="left"/>
        <w:rPr/>
      </w:pPr>
      <w:r>
        <w:rPr/>
        <w:t>Phần I. Trắc nghiệm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  <w:r>
        <w:rPr/>
        <w:t xml:space="preserve"> Căn cứ các quy định pháp luật Thuế và Quản lý thuế hiện hành, ghi tên phương án trả lời đúng nhất.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1.</w:t>
      </w:r>
      <w:r>
        <w:rPr/>
        <w:t xml:space="preserve"> Khoản trợ cấp nào tính vào thu nhập chịu thuế TNCN từ tiền lương, tiền công: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Trợ cấp chuyển vùng 1 lần đối với người nước ngoài đến cư trú tại Việt Nam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Trợ cấp 1 lần khi chuyển công tác đến vùng đặc biệt khó khăn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Trợ cấp khó khăn 1 lần của tổ chức cho người lao động khi gặp khó khăn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Trợ cấp chuyển vùng 1 lần đối với người Việt Nam đi làm việc ở nước ngoài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2.</w:t>
      </w:r>
      <w:r>
        <w:rPr/>
        <w:t xml:space="preserve"> Doanh nghiệp A áp dụng kỳ kế toán từ 01/07 đến 30/06, không được gia hạn nộp hồ sơ khai thuế. Thời hạn nộp hồ sơ quyết toán thuế TNCN năm 2021 là: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Chậm nhất ngày 31/03/2022 (thứ năm)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Chậm nhất ngày 30/04/2022 (thứ bảy)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Chậm nhất ngày 30/06/2022 (thứ năm)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nhất ngày 30/09/2022 (thứ sáu)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3.</w:t>
      </w:r>
      <w:r>
        <w:rPr/>
        <w:t xml:space="preserve"> Doanh nghiệp A có dự án đầu tư mới năm 2016, miễn thuế 4 năm, giảm 50% thuế 9 năm tiếp theo. Dự án phát sinh doanh thu năm 2016, thu nhập năm 2018. Thời gian miễn, giảm thuế tính từ: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Năm 2016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Năm 2017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Năm 2018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Năm 2019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4.</w:t>
      </w:r>
      <w:r>
        <w:rPr/>
        <w:t xml:space="preserve"> Dịch vụ vận chuyển hành khách nào không chịu thuế GTGT: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Dịch vụ vận chuyển hành khách đi các tỉnh, thành phố Việt Nam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Dịch vụ vận chuyển hành khách công cộng bằng xe buýt, xe điện</w:t>
      </w:r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Cả hai phương án trên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5.</w:t>
      </w:r>
      <w:r>
        <w:rPr/>
        <w:t xml:space="preserve"> Cá nhân A thừa kế 100m² đất ở năm 2022, giá đất 20 triệu đồng/m². Thuế TNCN phải nộp là: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40.000.000 đồng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199.000.000 đồng</w:t>
      </w:r>
      <w:r>
        <w:rPr/>
        <w:t xml:space="preserve">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200.000.000 đồng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phải nộp thuế TNCN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6.</w:t>
      </w:r>
      <w:r>
        <w:rPr/>
        <w:t xml:space="preserve"> Cơ sở kinh doanh không phải kê khai, tính nộp thuế GTGT trong trường hợp: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Điều chuyển tài sản giữa các đơn vị hạch toán phụ thuộc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Điều chuyển tài sản khi sáp nhập doanh nghiệp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Điều chuyển tài sản khi chuyển đổi loại hình doanh nghiệp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Tất cả các trường hợp trên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7.</w:t>
      </w:r>
      <w:r>
        <w:rPr/>
        <w:t xml:space="preserve"> Thu nhập từ tiêu thụ phế liệu, phế phẩm: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vào thu nhập khác, không hưởng ưu đãi thuế TNDN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vào thu nhập sản xuất kinh doanh chính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Được hưởng ưu đãi thuế TNDN nếu từ sản phẩm ưu đãi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8.</w:t>
      </w:r>
      <w:r>
        <w:rPr/>
        <w:t xml:space="preserve"> Công ty A xuất hóa đơn trả lại hàng tháng 03/2022 vào 13/05/2022. Khai thuế và nộp thuế GTGT vào: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Hồ sơ khai thuế bổ sung tháng 03/2022 trước khi thanh tra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Hồ sơ khai thuế tháng 04/2022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Hồ sơ khai thuế tháng 05/2022</w:t>
      </w:r>
      <w:r>
        <w:rPr/>
        <w:t xml:space="preserve">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Hồ sơ khai thuế tháng 04/2022 hoặc 05/2022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9.</w:t>
      </w:r>
      <w:r>
        <w:rPr/>
        <w:t xml:space="preserve"> Cá nhân A chuyển nhượng 15.000 cổ phiếu HBX ngày 10/11/2021, giá 23.000 đồng/cổ phiếu. Thuế TNCN phải nộp: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6.900.000 đồng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3.450.000 đồng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345.000 đồng</w:t>
      </w:r>
      <w:r>
        <w:rPr/>
        <w:t xml:space="preserve">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phát sinh thuế TNCN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10.</w:t>
      </w:r>
      <w:r>
        <w:rPr/>
        <w:t xml:space="preserve"> Mức phạt tiền trốn thuế đối với cá nhân: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Bằng mức phạt đối với tổ chức</w:t>
      </w:r>
      <w:r>
        <w:rPr/>
        <w:t xml:space="preserve">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Bằng 1/2 mức phạt đối với tổ chức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Bằng mức phạt đối với tổ chức, áp dụng tình tiết giảm nhẹ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Bằng 1/2 mức phạt đối với tổ chức, áp dụng tình tiết tăng nặng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11.</w:t>
      </w:r>
      <w:r>
        <w:rPr/>
        <w:t xml:space="preserve"> Chi phí được trừ khi xác định thu nhập chịu thuế TNDN: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phí nguyên vật liệu phục vụ sản xuất kinh doanh, có hóa đơn, chứng từ</w:t>
      </w:r>
      <w:r>
        <w:rPr/>
        <w:t xml:space="preserve">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Khoản trích trước không đúng quy định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Chi khấu hao tài sản cố định đã khấu hao hết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12.</w:t>
      </w:r>
      <w:r>
        <w:rPr/>
        <w:t xml:space="preserve"> Tổ chức không đăng ký kinh doanh, khi tạm ngừng hoạt động: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phải thông báo cơ quan thuế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Thông báo cơ quan thuế chậm nhất 01 ngày làm việc trước khi tạm ngừng</w:t>
      </w:r>
      <w:r>
        <w:rPr/>
        <w:t xml:space="preserve"> 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Thông báo cơ quan thuế chậm nhất 10 ngày làm việc trước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13.</w:t>
      </w:r>
      <w:r>
        <w:rPr/>
        <w:t xml:space="preserve"> Tổ chức trả thu nhập không phải khai quyết toán thuế TNCN khi: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phát sinh khấu trừ thuế TNCN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phát sinh trả thu nhập</w:t>
      </w:r>
      <w:r>
        <w:rPr/>
        <w:t xml:space="preserve"> 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có cá nhân ủy quyền quyết toán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14.</w:t>
      </w:r>
      <w:r>
        <w:rPr/>
        <w:t xml:space="preserve"> Doanh nghiệp có lãi sản xuất kinh doanh, lỗ chuyển nhượng bất động sản: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Được bù trừ lãi, lỗ giữa hai hoạt động</w:t>
      </w:r>
      <w:r>
        <w:rPr/>
        <w:t xml:space="preserve">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Được bù trừ một phần lỗ với lãi theo đề nghị và chấp thuận 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được bù trừ lãi, lỗ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15.</w:t>
      </w:r>
      <w:r>
        <w:rPr/>
        <w:t xml:space="preserve"> Giá tính thuế GTGT khi khuyến mại giảm giá: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bán chưa có thuế GTGT trước khuyến mại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bán chưa có thuế GTGT đã giảm trong thời gian khuyến mại</w:t>
      </w:r>
      <w:r>
        <w:rPr/>
        <w:t xml:space="preserve"> 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bán chưa có thuế GTGT của hàng hóa tương đương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16.</w:t>
      </w:r>
      <w:r>
        <w:rPr/>
        <w:t xml:space="preserve"> Chi phí được trừ khi xác định thu nhập chịu thuế TNDN: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đầu vào đã khấu trừ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thực hiện nhiệm vụ quốc phòng, an ninh</w:t>
      </w:r>
      <w:r>
        <w:rPr/>
        <w:t xml:space="preserve"> 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TNDN nộp vào ngân sách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17.</w:t>
      </w:r>
      <w:r>
        <w:rPr/>
        <w:t xml:space="preserve"> Sau thanh tra, người nộp thuế khai bổ sung giảm số thuế phải nộp: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bị xử phạt vi phạm hành chính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Bị xử phạt vi phạm hành chính 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Thực hiện quy định giải quyết khiếu nại về thuế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18.</w:t>
      </w:r>
      <w:r>
        <w:rPr/>
        <w:t xml:space="preserve"> Thu nhập tính thuế TNDN: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Thu nhập chịu thuế trừ thu nhập miễn thuế trừ lỗ kết chuyển</w:t>
      </w:r>
      <w:r>
        <w:rPr/>
        <w:t xml:space="preserve">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chịu thuế trừ thu nhập miễn thuế cộng lỗ kết chuyển 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Doanh thu trừ chi phí được trừ cộng thu nhập khác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19.</w:t>
      </w:r>
      <w:r>
        <w:rPr/>
        <w:t xml:space="preserve"> Hóa đơn GTGT ghi thuế suất cao hơn quy định: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Khấu trừ theo thuế suất quy định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Khấu trừ theo thuế suất trên hóa đơn nếu người bán xác nhận đã nộp thuế</w:t>
      </w:r>
      <w:r>
        <w:rPr/>
        <w:t xml:space="preserve">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được khấu trừ 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Cả 1 và 2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20.</w:t>
      </w:r>
      <w:r>
        <w:rPr/>
        <w:t xml:space="preserve"> Giá tính thuế GTGT khi chứng từ thanh toán bao gồm thuế GTGT: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thanh toán bao gồm thuế GTGT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Giá thanh toán chia (1 + thuế suất GTGT)</w:t>
      </w:r>
      <w:r>
        <w:rPr/>
        <w:t xml:space="preserve"> 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Giá thanh toán chia thuế suất GTGT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21.</w:t>
      </w:r>
      <w:r>
        <w:rPr/>
        <w:t xml:space="preserve"> Chi phí được trừ khi xác định thu nhập chịu thuế TNDN: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đầu vào ô tô vượt mức khấu trừ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TNCN khấu trừ nộp ngân sách 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Thuế TNDN nộp thay nhà thầu nước ngoài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22.</w:t>
      </w:r>
      <w:r>
        <w:rPr/>
        <w:t xml:space="preserve"> Cá nhân trúng 2 vé xổ số, mỗi vé 10 triệu đồng. Thuế TNCN phải nộp: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0 đồng</w:t>
      </w:r>
      <w:r>
        <w:rPr/>
        <w:t xml:space="preserve">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500.000 đồng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1.000.000 đồng </w: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2.000.000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23.</w:t>
      </w:r>
      <w:r>
        <w:rPr/>
        <w:t xml:space="preserve"> Doanh nghiệp khai thuế GTGT theo quý, phát hiện không đủ điều kiện tháng 03/2022: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Chuyển sang khai theo tháng từ tháng 03/2022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Chuyển sang khai theo tháng từ tháng 04/2022</w:t>
      </w:r>
      <w:r>
        <w:rPr/>
        <w:t xml:space="preserve">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Tiếp tục khai theo quý năm 2022 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Khai theo tháng trọn năm 2022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24.</w:t>
      </w:r>
      <w:r>
        <w:rPr/>
        <w:t xml:space="preserve"> Giá tính thuế GTGT hoạt động môi giới: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bán hàng hóa, dịch vụ bao gồm thuế GTGT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Giá bán hàng hóa, dịch vụ chưa có thuế GTGT </w: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Tiền công hoặc hoa hồng từ môi giới, chưa có thuế GTGT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25.</w:t>
      </w:r>
      <w:r>
        <w:rPr/>
        <w:t xml:space="preserve"> Hoạt động không phát sinh thuế TNCN: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Nhận thừa kế 3.000 cổ phiếu RSX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Nhận thừa kế phần vốn góp 3,5 tỷ đồng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Nhận thừa kế khoản tiền gửi 500 triệu đồng</w:t>
      </w:r>
      <w:r>
        <w:rPr/>
        <w:t xml:space="preserve"> </w: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Nhận thừa kế xe ô tô cho thuê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26.</w:t>
      </w:r>
      <w:r>
        <w:rPr/>
        <w:t xml:space="preserve"> Chi phí không được trừ khi xác định thu nhập chịu thuế TNDN: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Chi đầu tư xây dựng cơ bản hình thành tài sản cố định</w:t>
      </w:r>
      <w:r>
        <w:rPr/>
        <w:t xml:space="preserve">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Chi tài trợ y tế đúng quy định </w: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Chi tài trợ giáo dục đúng quy định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27.</w:t>
      </w:r>
      <w:r>
        <w:rPr/>
        <w:t xml:space="preserve"> Trong thời gian gia hạn nộp thuế: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Không tính tiền chậm nộp thuế</w:t>
      </w:r>
      <w:r>
        <w:rPr/>
        <w:t xml:space="preserve">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tiền chậm nộp 0.01%/ngày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tiền chậm nộp 0.03%/ngày 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Tính tiền chậm nộp 0.05%/ngày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28.</w:t>
      </w:r>
      <w:r>
        <w:rPr/>
        <w:t xml:space="preserve"> Thuế suất GTGT 5% và 10% áp dụng ở: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Khâu sản xuất, gia công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Khâu nhập khẩu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Khâu kinh doanh thương mại </w: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Tất cả các khâu trên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29.</w:t>
      </w:r>
      <w:r>
        <w:rPr/>
        <w:t xml:space="preserve"> Cá nhân A có thu nhập từ tiền lương 180 triệu đồng năm 2021. Thuế TNCN phải nộp: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27.000.000 đồng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18.000.000 đồng</w:t>
      </w:r>
      <w:r>
        <w:rPr/>
        <w:t xml:space="preserve">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9.000.000 đồng </w: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2.400.000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Câu 30.</w:t>
      </w:r>
      <w:r>
        <w:rPr/>
        <w:t xml:space="preserve"> Hành vi vi phạm thủ tục thuế: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Vi phạm thời hạn nộp hồ sơ khai thuế trong 90 ngày kể từ ngày hết hạn</w:t>
      </w:r>
      <w:r>
        <w:rPr/>
        <w:t xml:space="preserve">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Khai sai, thiếu số tiền thuế phải nộp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Trốn thuế </w: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Chậm nộp tiền thuế </w:t>
      </w:r>
    </w:p>
    <w:p>
      <w:pPr>
        <w:pStyle w:val="Heading2"/>
        <w:bidi w:val="0"/>
        <w:jc w:val="left"/>
        <w:rPr/>
      </w:pPr>
      <w:r>
        <w:rPr/>
        <w:t>Phần II. Bài tập</w:t>
      </w:r>
    </w:p>
    <w:p>
      <w:pPr>
        <w:pStyle w:val="Heading3"/>
        <w:bidi w:val="0"/>
        <w:jc w:val="left"/>
        <w:rPr/>
      </w:pPr>
      <w:r>
        <w:rPr/>
        <w:t>Câu 1: Công ty TNHH Hải Anh, MST 3410368xxx, kê khai theo phương pháp khấu trừ</w:t>
      </w:r>
    </w:p>
    <w:p>
      <w:pPr>
        <w:pStyle w:val="BodyText"/>
        <w:bidi w:val="0"/>
        <w:jc w:val="left"/>
        <w:rPr/>
      </w:pPr>
      <w:r>
        <w:rPr>
          <w:rStyle w:val="Strong"/>
        </w:rPr>
        <w:t>Dữ liệu tháng 3/2022 (triệu đồng):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Nhập khẩu: 300 thùng táo Amber, 5 tấn hạnh nhân, trị giá 1.170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5 tấn hạnh nhân cho Công ty Hải Hà, trị giá 1.000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300 thùng táo cho hộ kinh doanh, trị giá 600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70 tấn thanh long trồng trực tiếp, trị giá 874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Xuất khẩu 30 tấn thanh long sang Australia, trị giá 1.350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nông sản chế biến khô có đường, trị giá 336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Bán 100 thùng dầu ô liu cho Công ty Thái Dương, trị giá 210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Mua xe ô tô tải đã qua sử dụng từ Công ty Thái Dương, trị giá chưa thuế 230, thanh toán chênh lệch 21,6 bằng tiền mặt 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Mua hàng hóa, dịch vụ dùng chung, trị giá 316, thuế GTGT 26,6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thuế GTGT phải nộp hoặc được khấu trừ tháng 3/2022 </w: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Lập tờ khai thuế GTGT tháng 3/2022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 bổ sung: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kỳ trước chuyển sang: 15,6 triệu đồng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Hóa đơn, chứng từ đầy đủ, thanh toán không dùng tiền mặt cho hóa đơn từ 20 triệu đồng trở lên, trừ thanh toán cho Công ty Thái Dương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Xuất khẩu, nhập khẩu có hồ sơ đầy đủ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Nông sản khô, dầu ô liu, xe ô tô tải áp dụng thuế suất 8% theo Nghị định 15/2022/NĐ-CP </w: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Nộp tờ khai ngày 19/04/2022 </w:t>
      </w:r>
    </w:p>
    <w:p>
      <w:pPr>
        <w:pStyle w:val="Heading3"/>
        <w:bidi w:val="0"/>
        <w:jc w:val="left"/>
        <w:rPr/>
      </w:pPr>
      <w:r>
        <w:rPr/>
        <w:t>Câu 2: Công ty TNHH Bệnh viện A, kỳ tính thuế năm 2021</w:t>
      </w:r>
    </w:p>
    <w:p>
      <w:pPr>
        <w:pStyle w:val="BodyText"/>
        <w:bidi w:val="0"/>
        <w:jc w:val="left"/>
        <w:rPr/>
      </w:pPr>
      <w:r>
        <w:rPr>
          <w:rStyle w:val="Strong"/>
        </w:rPr>
        <w:t>Dữ liệu (triệu đồng):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Doanh thu: 400.000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Dịch vụ khám chữa bệnh: 300.000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thuốc chữa bệnh: 100.000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Doanh thu tài chính: 2.000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chênh lệch tỷ giá nợ phải thu dài hạn: 1.000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chênh lệch tỷ giá nợ phải trả ngắn hạn: 1.000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khác: 10.000 (tài trợ từ thiện, đúng mục đích)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Chi phí: 380.000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Giá vốn: 280.000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bán hàng: 50.000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quản lý: 40.000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tài chính: 5.000 (lãi vay 2.000) </w:t>
      </w:r>
    </w:p>
    <w:p>
      <w:pPr>
        <w:pStyle w:val="BodyText"/>
        <w:numPr>
          <w:ilvl w:val="1"/>
          <w:numId w:val="3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khác: 5.000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Mua 3 máy X-Quang (1.000/máy), phí vận chuyển/lắp đặt 600 (tính vào chi phí 2021) </w: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Chi phí vật tư 2019: 15.000, thanh toán 2021: 10.000 tiền mặt, nợ 5.000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cầu: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Tính thuế TNDN phải nộp năm 2021 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Lập hồ sơ khai quyết toán thuế TNDN năm 2021 </w:t>
      </w:r>
    </w:p>
    <w:p>
      <w:pPr>
        <w:pStyle w:val="BodyText"/>
        <w:bidi w:val="0"/>
        <w:jc w:val="left"/>
        <w:rPr/>
      </w:pPr>
      <w:r>
        <w:rPr>
          <w:rStyle w:val="Strong"/>
        </w:rPr>
        <w:t>Thông tin bổ sung: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Ưu đãi thuế: 10% suốt thời gian hoạt động, miễn thuế 4 năm, giảm 50% 5 năm tiếp theo (từ 2017)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hạch toán riêng thu nhập ưu đãi/không ưu đãi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Không trích quỹ KHCN, không lỗ lũy kế, không giao dịch liên kết </w: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Tạm nộp thuế TNDN: 5.000 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Gợi ý lời giải</w:t>
      </w:r>
    </w:p>
    <w:p>
      <w:pPr>
        <w:pStyle w:val="Heading3"/>
        <w:bidi w:val="0"/>
        <w:jc w:val="left"/>
        <w:rPr/>
      </w:pPr>
      <w:r>
        <w:rPr/>
        <w:t>Phần I: Trắc nghiệm</w:t>
      </w:r>
    </w:p>
    <w:tbl>
      <w:tblPr>
        <w:tblW w:w="69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8"/>
        <w:gridCol w:w="846"/>
        <w:gridCol w:w="533"/>
        <w:gridCol w:w="846"/>
        <w:gridCol w:w="533"/>
        <w:gridCol w:w="846"/>
        <w:gridCol w:w="533"/>
        <w:gridCol w:w="846"/>
        <w:gridCol w:w="533"/>
        <w:gridCol w:w="891"/>
      </w:tblGrid>
      <w:tr>
        <w:trPr>
          <w:tblHeader w:val="true"/>
        </w:trPr>
        <w:tc>
          <w:tcPr>
            <w:tcW w:w="54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Câu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Đáp án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Câu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Đáp án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Câu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Đáp án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Câu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Đáp án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Câu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Đáp án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D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D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</w:tr>
      <w:tr>
        <w:trPr/>
        <w:tc>
          <w:tcPr>
            <w:tcW w:w="54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D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8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C</w:t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89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A</w:t>
            </w:r>
          </w:p>
        </w:tc>
      </w:tr>
    </w:tbl>
    <w:p>
      <w:pPr>
        <w:pStyle w:val="Heading3"/>
        <w:bidi w:val="0"/>
        <w:jc w:val="left"/>
        <w:rPr/>
      </w:pPr>
      <w:r>
        <w:rPr/>
        <w:t>Phần II: Bài tập</w:t>
      </w:r>
    </w:p>
    <w:p>
      <w:pPr>
        <w:pStyle w:val="Heading4"/>
        <w:bidi w:val="0"/>
        <w:jc w:val="left"/>
        <w:rPr/>
      </w:pPr>
      <w:r>
        <w:rPr/>
        <w:t>Câu 1: Thuế giá trị gia tăng (GTGT)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 1: Tính thuế GTGT phải nộp hoặc được khấu trừ tháng 3/2022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1: Xác định thuế GTGT đầu ra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5"/>
        <w:gridCol w:w="3769"/>
        <w:gridCol w:w="1334"/>
        <w:gridCol w:w="1298"/>
        <w:gridCol w:w="626"/>
        <w:gridCol w:w="666"/>
        <w:gridCol w:w="646"/>
        <w:gridCol w:w="466"/>
        <w:gridCol w:w="512"/>
      </w:tblGrid>
      <w:tr>
        <w:trPr>
          <w:tblHeader w:val="true"/>
        </w:trPr>
        <w:tc>
          <w:tcPr>
            <w:tcW w:w="655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NV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Giá tính thuế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Thuế GTGT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KCT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KKK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0%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5%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8%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Bán 5 tấn hạnh nhân bóc vỏ (KKK)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1.000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1.000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Bán 300 thùng táo (5%)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600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Bán 70 tấn thanh long trồng trực tiếp (KCT)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874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874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Xuất khẩu 30 tấn thanh long (0%)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1.350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1.350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Bán nông sản chế biến khô (8%)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336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26,88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336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Bán 100 thùng dầu ô liu (8%)</w:t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210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16,8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Tổng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4.370</w:t>
            </w:r>
          </w:p>
        </w:tc>
        <w:tc>
          <w:tcPr>
            <w:tcW w:w="1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73,68</w:t>
            </w:r>
          </w:p>
        </w:tc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874</w:t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1.000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1.350</w:t>
            </w:r>
          </w:p>
        </w:tc>
        <w:tc>
          <w:tcPr>
            <w:tcW w:w="46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600</w:t>
            </w:r>
          </w:p>
        </w:tc>
        <w:tc>
          <w:tcPr>
            <w:tcW w:w="5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546</w:t>
            </w:r>
          </w:p>
        </w:tc>
      </w:tr>
    </w:tbl>
    <w:p>
      <w:pPr>
        <w:pStyle w:val="BodyText"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Tỷ lệ phân bổ thuế GTGT đầu vào được khấu trừ:</w:t>
      </w:r>
      <w:r>
        <w:rPr/>
        <w:br/>
        <w:t xml:space="preserve">(1.000 + 1.350 + 600 + 546) / (874 + 1.000 + 1.350 + 600 + 546) × 100% = 80% 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2: Xác định thuế GTGT đầu vào được khấu trừ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5"/>
        <w:gridCol w:w="4396"/>
        <w:gridCol w:w="1389"/>
        <w:gridCol w:w="1209"/>
        <w:gridCol w:w="2323"/>
      </w:tblGrid>
      <w:tr>
        <w:trPr>
          <w:tblHeader w:val="true"/>
        </w:trPr>
        <w:tc>
          <w:tcPr>
            <w:tcW w:w="655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NV</w:t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Diễn giải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Giá trị mua vào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Thuế GTGT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Thuế GTGT được khấu trừ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Nhập khẩu táo và hạnh nhân (KCT)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1.170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Mua xe ô tô tải (8%)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230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18,4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13,44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Thuế GTGT không khấu trừ (tiền mặt 21,6 / 1,08 × 8% = 1,6)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Mua hàng hóa, dịch vụ dùng chung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316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26,6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21,28</w:t>
            </w:r>
          </w:p>
        </w:tc>
      </w:tr>
      <w:tr>
        <w:trPr/>
        <w:tc>
          <w:tcPr>
            <w:tcW w:w="65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Tổng</w:t>
            </w:r>
          </w:p>
        </w:tc>
        <w:tc>
          <w:tcPr>
            <w:tcW w:w="4396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1.716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45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34,72</w:t>
            </w:r>
          </w:p>
        </w:tc>
      </w:tr>
    </w:tbl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xe ô tô: 230 × 8% = 18,4; được khấu trừ: (18,4 – 1,6) × 80% = 13,44 </w: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GTGT hàng hóa, dịch vụ: 26,6 × 80% = 21,28 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3: Tính thuế GTGT phải nộp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phát sinh: 73,68 – 34,72 = 38,96 triệu đồng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kỳ trước chuyển sang: 15,6 triệu đồng 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Thuế GTGT phải nộp:</w:t>
      </w:r>
      <w:r>
        <w:rPr/>
        <w:t xml:space="preserve"> 38,96 – 15,6 = </w:t>
      </w:r>
      <w:r>
        <w:rPr>
          <w:rStyle w:val="Strong"/>
        </w:rPr>
        <w:t>23,36 triệu đồng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 2: Lập tờ khai thuế GTGT tháng 3/2022</w:t>
      </w:r>
      <w:r>
        <w:rPr/>
        <w:br/>
        <w:t>Dựa trên các số liệu: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đầu ra: 73,68 triệu đồng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đầu vào được khấu trừ: 34,72 triệu đồng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GTGT phải nộp: 23,36 triệu đồng </w: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Thuế GTGT kỳ trước chuyển sang: 15,6 triệu đồng </w:t>
      </w:r>
    </w:p>
    <w:p>
      <w:pPr>
        <w:pStyle w:val="BodyText"/>
        <w:bidi w:val="0"/>
        <w:jc w:val="left"/>
        <w:rPr/>
      </w:pPr>
      <w:r>
        <w:rPr/>
        <w:t>Tờ khai sử dụng mẫu 01/GTGT, điền thông tin: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Tên: Công ty TNHH Hải Anh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MST: 3410368xxx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Kỳ tính thuế: Tháng 3/2022 </w: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Các chỉ tiêu doanh thu, thuế đầu ra, đầu vào, số thuế phải nộp. </w:t>
      </w:r>
    </w:p>
    <w:p>
      <w:pPr>
        <w:pStyle w:val="BodyText"/>
        <w:bidi w:val="0"/>
        <w:jc w:val="left"/>
        <w:rPr/>
      </w:pPr>
      <w:r>
        <w:rPr/>
        <w:t>(Lưu ý: Tham khảo mẫu 01/GTGT và hướng dẫn từ Tổng cục Thuế).</w:t>
      </w:r>
    </w:p>
    <w:p>
      <w:pPr>
        <w:pStyle w:val="Heading4"/>
        <w:bidi w:val="0"/>
        <w:jc w:val="left"/>
        <w:rPr/>
      </w:pPr>
      <w:r>
        <w:rPr/>
        <w:t>Câu 2: Thuế thu nhập doanh nghiệp (TNDN)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 1: Tính thuế TNDN phải nộp năm 2021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1: Xác định thu nhập chịu thuế</w:t>
      </w:r>
    </w:p>
    <w:p>
      <w:pPr>
        <w:pStyle w:val="BodyText"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Công thức:</w:t>
      </w:r>
      <w:r>
        <w:rPr/>
        <w:br/>
        <w:t>Thuế TNDN = (Thu nhập tính thuế – Trích lập quỹ KHCN) × Thuế suất TNDN</w:t>
        <w:br/>
        <w:t>Thu nhập tính thuế = Thu nhập chịu thuế – (Thu nhập miễn thuế + Lỗ kết chuyển)</w:t>
        <w:br/>
        <w:t xml:space="preserve">Thu nhập chịu thuế = Doanh thu – Chi phí được trừ + Thu nhập khác </w:t>
      </w:r>
    </w:p>
    <w:p>
      <w:pPr>
        <w:pStyle w:val="BodyText"/>
        <w:bidi w:val="0"/>
        <w:jc w:val="left"/>
        <w:rPr/>
      </w:pPr>
      <w:r>
        <w:rPr>
          <w:rStyle w:val="Strong"/>
        </w:rPr>
        <w:t>1. Doanh thu: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Doanh thu chính: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Khám chữa bệnh: 300.000 triệu đồng (ưu đãi) 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Bán thuốc: 100.000 triệu đồng (không ưu đãi) 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Tổng:</w:t>
      </w:r>
      <w:r>
        <w:rPr/>
        <w:t xml:space="preserve"> 400.000 triệu đồng 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Tỷ lệ:</w:t>
      </w:r>
    </w:p>
    <w:p>
      <w:pPr>
        <w:pStyle w:val="BodyText"/>
        <w:numPr>
          <w:ilvl w:val="2"/>
          <w:numId w:val="4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Ưu đãi: 300.000 / 400.000 = 75% </w:t>
      </w:r>
    </w:p>
    <w:p>
      <w:pPr>
        <w:pStyle w:val="BodyText"/>
        <w:numPr>
          <w:ilvl w:val="2"/>
          <w:numId w:val="43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/>
        <w:t xml:space="preserve">Không ưu đãi: 100.000 / 400.000 = 25%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Doanh thu tài chính: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tỷ giá nợ phải thu dài hạn: 1.000 (không chịu thuế) 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Lãi tỷ giá nợ phải trả ngắn hạn: 1.000 (chịu thuế) </w:t>
      </w:r>
    </w:p>
    <w:p>
      <w:pPr>
        <w:pStyle w:val="BodyText"/>
        <w:numPr>
          <w:ilvl w:val="1"/>
          <w:numId w:val="4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Chịu thuế:</w:t>
      </w:r>
      <w:r>
        <w:rPr/>
        <w:t xml:space="preserve"> 1.000 triệu đồng 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Tổng doanh thu chịu thuế:</w:t>
      </w:r>
      <w:r>
        <w:rPr/>
        <w:t xml:space="preserve"> 400.000 + 1.000 = 401.000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2. Chi phí được trừ: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Chi phí kế toán: 380.000 triệu đồng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Giá vốn: 280.000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bán hàng: 50.000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quản lý: 40.000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tài chính: 5.000 (lãi vay 2.000)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khác: 5.000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Chi phí không được trừ: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Phí vận chuyển/lắp đặt máy X-Quang: 600 triệu đồng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Chi phí vật tư 2019 thanh toán tiền mặt: 10.000 triệu đồng </w:t>
      </w:r>
    </w:p>
    <w:p>
      <w:pPr>
        <w:pStyle w:val="BodyText"/>
        <w:numPr>
          <w:ilvl w:val="1"/>
          <w:numId w:val="4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Tổng:</w:t>
      </w:r>
      <w:r>
        <w:rPr/>
        <w:t xml:space="preserve"> 600 + 10.000 = 10.600 triệu đồng </w: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Chi phí được trừ:</w:t>
      </w:r>
      <w:r>
        <w:rPr/>
        <w:t xml:space="preserve"> 380.000 – 10.600 = 369.400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3. Thu nhập khác:</w: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Tài trợ từ thiện (miễn thuế): 10.000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4. Thu nhập chịu thuế:</w: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401.000 + 10.000 – 369.400 = 41.600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5. Thu nhập miễn thuế: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10.000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6. Thu nhập tính thuế:</w: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41.600 – 10.000 = 31.600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2: Phân bổ thu nhập tính thuế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Ưu đãi: 31.600 × 75% = 23.700 triệu đồng </w: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Không ưu đãi: 31.600 × 25% = 7.900 triệu đồng 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3: Tính thuế TNDN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Thuế suất:</w:t>
      </w:r>
    </w:p>
    <w:p>
      <w:pPr>
        <w:pStyle w:val="BodyText"/>
        <w:numPr>
          <w:ilvl w:val="1"/>
          <w:numId w:val="5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Ưu đãi: 10% × 50% (năm 2021, giảm 50%): 5% </w:t>
      </w:r>
    </w:p>
    <w:p>
      <w:pPr>
        <w:pStyle w:val="BodyText"/>
        <w:numPr>
          <w:ilvl w:val="1"/>
          <w:numId w:val="5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Không ưu đãi: 20% </w: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Thuế TNDN:</w:t>
      </w:r>
    </w:p>
    <w:p>
      <w:pPr>
        <w:pStyle w:val="BodyText"/>
        <w:numPr>
          <w:ilvl w:val="1"/>
          <w:numId w:val="5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Ưu đãi: 23.700 × 5% = 1.185 triệu đồng </w:t>
      </w:r>
    </w:p>
    <w:p>
      <w:pPr>
        <w:pStyle w:val="BodyText"/>
        <w:numPr>
          <w:ilvl w:val="1"/>
          <w:numId w:val="50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Không ưu đãi: 7.900 × 20% = 1.580 triệu đồng </w:t>
      </w:r>
    </w:p>
    <w:p>
      <w:pPr>
        <w:pStyle w:val="BodyText"/>
        <w:numPr>
          <w:ilvl w:val="1"/>
          <w:numId w:val="50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Tổng:</w:t>
      </w:r>
      <w:r>
        <w:rPr/>
        <w:t xml:space="preserve"> 1.185 + 1.580 = </w:t>
      </w:r>
      <w:r>
        <w:rPr>
          <w:rStyle w:val="Strong"/>
        </w:rPr>
        <w:t>2.765 triệu đồng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Bước 4: Thuế còn phải nộp/nộp thừa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Đã tạm nộp: 5.000 triệu đồng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Phải nộp: 2.765 triệu đồng 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Nộp thừa:</w:t>
      </w:r>
      <w:r>
        <w:rPr/>
        <w:t xml:space="preserve"> 2.765 – 5.000 = </w:t>
      </w:r>
      <w:r>
        <w:rPr>
          <w:rStyle w:val="Strong"/>
        </w:rPr>
        <w:t>-2.235 triệu đồng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>
          <w:rStyle w:val="Strong"/>
        </w:rPr>
        <w:t>Kết luận:</w:t>
      </w:r>
      <w:r>
        <w:rPr/>
        <w:t xml:space="preserve"> Công ty nộp thừa </w:t>
      </w:r>
      <w:r>
        <w:rPr>
          <w:rStyle w:val="Strong"/>
        </w:rPr>
        <w:t>2.235 triệu đồng</w:t>
      </w:r>
      <w:r>
        <w:rPr/>
        <w:t>.</w:t>
      </w:r>
    </w:p>
    <w:p>
      <w:pPr>
        <w:pStyle w:val="BodyText"/>
        <w:bidi w:val="0"/>
        <w:jc w:val="left"/>
        <w:rPr/>
      </w:pPr>
      <w:r>
        <w:rPr>
          <w:rStyle w:val="Strong"/>
        </w:rPr>
        <w:t>Yêu cầu 2: Lập hồ sơ khai quyết toán thuế TNDN năm 2021</w:t>
      </w:r>
      <w:r>
        <w:rPr/>
        <w:br/>
        <w:t>Hồ sơ sử dụng mẫu 03/TNDN, điền: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Doanh thu: 400.000 + 1.000 + 10.000 = 411.000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Chi phí được trừ: 369.400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chịu thuế: 411.000 – 369.400 = 41.600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miễn thuế: 10.000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 nhập tính thuế: 41.600 – 10.000 = 31.600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Thuế TNDN phải nộp: 2.765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Đã tạm nộp: 5.000 triệu đồng </w: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Nộp thừa: -2.235 triệu đồng </w:t>
      </w:r>
    </w:p>
    <w:p>
      <w:pPr>
        <w:pStyle w:val="BodyText"/>
        <w:bidi w:val="0"/>
        <w:jc w:val="left"/>
        <w:rPr/>
      </w:pPr>
      <w:r>
        <w:rPr/>
        <w:t>(Lưu ý: Tham khảo mẫu 03/TNDN và hướng dẫn từ Tổng cục Thuế).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3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9</Pages>
  <Words>2980</Words>
  <Characters>10447</Characters>
  <CharactersWithSpaces>12987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2025-04-23T14:49:28Z</dcterms:created>
  <dc:creator/>
  <dc:description/>
  <dc:language>en-US</dc:language>
  <cp:lastModifiedBy/>
  <dcterms:modified xsi:type="dcterms:W3CDTF">2025-04-23T14:50:08Z</dcterms:modified>
  <cp:revision>1</cp:revision>
  <dc:subject/>
  <dc:title/>
</cp:coreProperties>
</file>